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881" w:rsidRPr="00511881" w:rsidRDefault="00511881" w:rsidP="00511881">
      <w:pPr>
        <w:spacing w:after="240" w:line="240" w:lineRule="auto"/>
        <w:rPr>
          <w:rFonts w:ascii="Times New Roman" w:eastAsia="Times New Roman" w:hAnsi="Times New Roman" w:cs="Times New Roman"/>
          <w:sz w:val="24"/>
          <w:szCs w:val="24"/>
          <w:lang w:eastAsia="en-ZA"/>
        </w:rPr>
      </w:pPr>
      <w:bookmarkStart w:id="0" w:name="_GoBack"/>
      <w:bookmarkEnd w:id="0"/>
    </w:p>
    <w:p w:rsidR="00511881" w:rsidRPr="00511881" w:rsidRDefault="00511881" w:rsidP="00511881">
      <w:pPr>
        <w:spacing w:after="0" w:line="240" w:lineRule="auto"/>
        <w:jc w:val="center"/>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LAW</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National Assembly and the Senate have adopted,</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President of the Republic promulgates the law which reads as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outlineLvl w:val="0"/>
        <w:rPr>
          <w:rFonts w:ascii="Times New Roman" w:eastAsia="Times New Roman" w:hAnsi="Times New Roman" w:cs="Times New Roman"/>
          <w:b/>
          <w:bCs/>
          <w:kern w:val="36"/>
          <w:sz w:val="48"/>
          <w:szCs w:val="48"/>
          <w:lang w:eastAsia="en-ZA"/>
        </w:rPr>
      </w:pPr>
      <w:r w:rsidRPr="00511881">
        <w:rPr>
          <w:rFonts w:ascii="Times New Roman" w:eastAsia="Times New Roman" w:hAnsi="Times New Roman" w:cs="Times New Roman"/>
          <w:b/>
          <w:bCs/>
          <w:color w:val="000000"/>
          <w:kern w:val="36"/>
          <w:sz w:val="26"/>
          <w:szCs w:val="26"/>
          <w:lang w:eastAsia="en-ZA"/>
        </w:rPr>
        <w:t>follows:TITLE: OBJECT OF SCOPE AND DEFINITIONS</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CHAPTER I</w:t>
      </w:r>
      <w:r w:rsidRPr="00511881">
        <w:rPr>
          <w:rFonts w:ascii="Times New Roman" w:eastAsia="Times New Roman" w:hAnsi="Times New Roman" w:cs="Times New Roman"/>
          <w:b/>
          <w:bCs/>
          <w:color w:val="000000"/>
          <w:sz w:val="16"/>
          <w:szCs w:val="16"/>
          <w:vertAlign w:val="superscript"/>
          <w:lang w:eastAsia="en-ZA"/>
        </w:rPr>
        <w:t>ER:</w:t>
      </w:r>
      <w:r w:rsidRPr="00511881">
        <w:rPr>
          <w:rFonts w:ascii="Times New Roman" w:eastAsia="Times New Roman" w:hAnsi="Times New Roman" w:cs="Times New Roman"/>
          <w:b/>
          <w:bCs/>
          <w:color w:val="000000"/>
          <w:sz w:val="26"/>
          <w:szCs w:val="26"/>
          <w:lang w:eastAsia="en-ZA"/>
        </w:rPr>
        <w:t>OBJECT AND SCOPE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
        </w:numPr>
        <w:spacing w:after="0" w:line="240" w:lineRule="auto"/>
        <w:ind w:left="1065"/>
        <w:jc w:val="both"/>
        <w:textAlignment w:val="baseline"/>
        <w:rPr>
          <w:rFonts w:ascii="Times New Roman" w:eastAsia="Times New Roman" w:hAnsi="Times New Roman" w:cs="Times New Roman"/>
          <w:b/>
          <w:bCs/>
          <w:i/>
          <w:iCs/>
          <w:color w:val="000000"/>
          <w:sz w:val="24"/>
          <w:szCs w:val="24"/>
          <w:lang w:eastAsia="en-ZA"/>
        </w:rPr>
      </w:pPr>
      <w:r w:rsidRPr="00511881">
        <w:rPr>
          <w:rFonts w:ascii="Times New Roman" w:eastAsia="Times New Roman" w:hAnsi="Times New Roman" w:cs="Times New Roman"/>
          <w:i/>
          <w:iCs/>
          <w:color w:val="000000"/>
          <w:sz w:val="26"/>
          <w:szCs w:val="26"/>
          <w:lang w:eastAsia="en-ZA"/>
        </w:rPr>
        <w:t>er</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this Act setting up the subject of a legal framework governing the national payment system in particular: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2"/>
        </w:numPr>
        <w:spacing w:after="0" w:line="240" w:lineRule="auto"/>
        <w:ind w:right="-71"/>
        <w:jc w:val="both"/>
        <w:textAlignment w:val="baseline"/>
        <w:rPr>
          <w:rFonts w:ascii="Times New Roman" w:eastAsia="Times New Roman" w:hAnsi="Times New Roman" w:cs="Times New Roman"/>
          <w:color w:val="000000"/>
          <w:sz w:val="26"/>
          <w:szCs w:val="26"/>
          <w:lang w:eastAsia="en-ZA"/>
        </w:rPr>
      </w:pPr>
      <w:r w:rsidRPr="00511881">
        <w:rPr>
          <w:rFonts w:ascii="Times New Roman" w:eastAsia="Times New Roman" w:hAnsi="Times New Roman" w:cs="Times New Roman"/>
          <w:color w:val="000000"/>
          <w:sz w:val="26"/>
          <w:szCs w:val="26"/>
          <w:lang w:eastAsia="en-ZA"/>
        </w:rPr>
        <w:t>the promotion, monitoring and protection of payment systems, clearing and securities settlement,</w:t>
      </w:r>
    </w:p>
    <w:p w:rsidR="00511881" w:rsidRPr="00511881" w:rsidRDefault="00511881" w:rsidP="00511881">
      <w:pPr>
        <w:numPr>
          <w:ilvl w:val="0"/>
          <w:numId w:val="2"/>
        </w:numPr>
        <w:spacing w:after="0" w:line="240" w:lineRule="auto"/>
        <w:jc w:val="both"/>
        <w:textAlignment w:val="baseline"/>
        <w:rPr>
          <w:rFonts w:ascii="Times New Roman" w:eastAsia="Times New Roman" w:hAnsi="Times New Roman" w:cs="Times New Roman"/>
          <w:color w:val="000000"/>
          <w:sz w:val="26"/>
          <w:szCs w:val="26"/>
          <w:lang w:eastAsia="en-ZA"/>
        </w:rPr>
      </w:pPr>
      <w:r w:rsidRPr="00511881">
        <w:rPr>
          <w:rFonts w:ascii="Times New Roman" w:eastAsia="Times New Roman" w:hAnsi="Times New Roman" w:cs="Times New Roman"/>
          <w:color w:val="000000"/>
          <w:sz w:val="26"/>
          <w:szCs w:val="26"/>
          <w:lang w:eastAsia="en-ZA"/>
        </w:rPr>
        <w:t>financial guarantee contracts,</w:t>
      </w:r>
    </w:p>
    <w:p w:rsidR="00511881" w:rsidRPr="00511881" w:rsidRDefault="00511881" w:rsidP="00511881">
      <w:pPr>
        <w:numPr>
          <w:ilvl w:val="0"/>
          <w:numId w:val="2"/>
        </w:numPr>
        <w:spacing w:after="0" w:line="240" w:lineRule="auto"/>
        <w:jc w:val="both"/>
        <w:textAlignment w:val="baseline"/>
        <w:rPr>
          <w:rFonts w:ascii="Times New Roman" w:eastAsia="Times New Roman" w:hAnsi="Times New Roman" w:cs="Times New Roman"/>
          <w:color w:val="000000"/>
          <w:sz w:val="26"/>
          <w:szCs w:val="26"/>
          <w:lang w:eastAsia="en-ZA"/>
        </w:rPr>
      </w:pPr>
      <w:r w:rsidRPr="00511881">
        <w:rPr>
          <w:rFonts w:ascii="Times New Roman" w:eastAsia="Times New Roman" w:hAnsi="Times New Roman" w:cs="Times New Roman"/>
          <w:color w:val="000000"/>
          <w:sz w:val="26"/>
          <w:szCs w:val="26"/>
          <w:lang w:eastAsia="en-ZA"/>
        </w:rPr>
        <w:lastRenderedPageBreak/>
        <w:t>the provision of payment services particularly in connection with the issuance and use of payment instrumentsinstruments.</w:t>
      </w:r>
    </w:p>
    <w:p w:rsidR="00511881" w:rsidRPr="00511881" w:rsidRDefault="00511881" w:rsidP="00511881">
      <w:pPr>
        <w:numPr>
          <w:ilvl w:val="0"/>
          <w:numId w:val="3"/>
        </w:numPr>
        <w:spacing w:before="100" w:beforeAutospacing="1" w:after="100" w:afterAutospacing="1" w:line="240" w:lineRule="auto"/>
        <w:ind w:left="1065"/>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this Act applies to: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4"/>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 xml:space="preserve">participants in the system, </w:t>
      </w:r>
    </w:p>
    <w:p w:rsidR="00511881" w:rsidRPr="00511881" w:rsidRDefault="00511881" w:rsidP="00511881">
      <w:pPr>
        <w:numPr>
          <w:ilvl w:val="0"/>
          <w:numId w:val="5"/>
        </w:numPr>
        <w:spacing w:after="0" w:line="240" w:lineRule="auto"/>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users of payment  ;</w:t>
      </w:r>
    </w:p>
    <w:p w:rsidR="00511881" w:rsidRPr="00511881" w:rsidRDefault="00511881" w:rsidP="00511881">
      <w:pPr>
        <w:numPr>
          <w:ilvl w:val="0"/>
          <w:numId w:val="5"/>
        </w:numPr>
        <w:spacing w:after="0" w:line="240" w:lineRule="auto"/>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past transactions in the payment system;</w:t>
      </w:r>
    </w:p>
    <w:p w:rsidR="00511881" w:rsidRPr="00511881" w:rsidRDefault="00511881" w:rsidP="00511881">
      <w:pPr>
        <w:numPr>
          <w:ilvl w:val="0"/>
          <w:numId w:val="5"/>
        </w:numPr>
        <w:spacing w:after="0" w:line="240" w:lineRule="auto"/>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other accredited institutions that issue payment instrumentsII:.</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lastRenderedPageBreak/>
        <w:t>CHAPTER</w:t>
      </w:r>
      <w:r w:rsidRPr="00511881">
        <w:rPr>
          <w:rFonts w:ascii="Times New Roman" w:eastAsia="Times New Roman" w:hAnsi="Times New Roman" w:cs="Times New Roman"/>
          <w:color w:val="000000"/>
          <w:sz w:val="26"/>
          <w:szCs w:val="26"/>
          <w:lang w:eastAsia="en-ZA"/>
        </w:rPr>
        <w:t xml:space="preserve"> </w:t>
      </w:r>
      <w:r w:rsidRPr="00511881">
        <w:rPr>
          <w:rFonts w:ascii="Times New Roman" w:eastAsia="Times New Roman" w:hAnsi="Times New Roman" w:cs="Times New Roman"/>
          <w:b/>
          <w:bCs/>
          <w:color w:val="000000"/>
          <w:sz w:val="26"/>
          <w:szCs w:val="26"/>
          <w:lang w:eastAsia="en-ZA"/>
        </w:rPr>
        <w:t xml:space="preserve">DEFINITIONS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6"/>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Under this Act, the term:</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7"/>
        </w:numPr>
        <w:spacing w:after="0" w:line="240" w:lineRule="auto"/>
        <w:ind w:left="360"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Settlement</w:t>
      </w:r>
      <w:r w:rsidRPr="00511881">
        <w:rPr>
          <w:rFonts w:ascii="Times New Roman" w:eastAsia="Times New Roman" w:hAnsi="Times New Roman" w:cs="Times New Roman"/>
          <w:color w:val="000000"/>
          <w:sz w:val="26"/>
          <w:szCs w:val="26"/>
          <w:lang w:eastAsia="en-ZA"/>
        </w:rPr>
        <w:t xml:space="preserve"> agent: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426"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an institution which provides the participants in payment systems, settlement accounts through which transfer orders within such systems are settled and, as the if appropriate, extending credit to those participants for settlement ofauthorization.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8"/>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debit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426"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the act by which a holder account debtor authorizes the creditor to collect, on a certain date, funds, securities, certificates or bills such account in settlement of its debt by means of a notice of levy and ordered </w:t>
      </w:r>
      <w:r w:rsidRPr="00511881">
        <w:rPr>
          <w:rFonts w:ascii="Times New Roman" w:eastAsia="Times New Roman" w:hAnsi="Times New Roman" w:cs="Times New Roman"/>
          <w:color w:val="000000"/>
          <w:sz w:val="26"/>
          <w:szCs w:val="26"/>
          <w:lang w:eastAsia="en-ZA"/>
        </w:rPr>
        <w:lastRenderedPageBreak/>
        <w:t>the reporting institution, the account, transfer the funds given to the account of the creditor of the issuer debits.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9"/>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Bank Central:</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the Central Bank of CongoCards:.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0"/>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credit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02"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any electronic funds transfer instrument issued by issuers of authorized payment instruments whose functions are supported by a magnetic or smart card, entitling its holder to withdraw or transfer fundsnetting.</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1"/>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compensation clause closeout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02"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stipulation of a financial guarantee contract or a contract containing such a provision, under which the occurrence of an event entailing the realization of collateral, by causes novation, compensation or otherwise, the following effects:</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lastRenderedPageBreak/>
        <w:br/>
      </w: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12"/>
        </w:numPr>
        <w:spacing w:after="0" w:line="240" w:lineRule="auto"/>
        <w:ind w:right="-71"/>
        <w:jc w:val="both"/>
        <w:textAlignment w:val="baseline"/>
        <w:rPr>
          <w:rFonts w:ascii="Times New Roman" w:eastAsia="Times New Roman" w:hAnsi="Times New Roman" w:cs="Times New Roman"/>
          <w:color w:val="000000"/>
          <w:sz w:val="26"/>
          <w:szCs w:val="26"/>
          <w:lang w:eastAsia="en-ZA"/>
        </w:rPr>
      </w:pPr>
      <w:r w:rsidRPr="00511881">
        <w:rPr>
          <w:rFonts w:ascii="Times New Roman" w:eastAsia="Times New Roman" w:hAnsi="Times New Roman" w:cs="Times New Roman"/>
          <w:color w:val="000000"/>
          <w:sz w:val="26"/>
          <w:szCs w:val="26"/>
          <w:lang w:eastAsia="en-ZA"/>
        </w:rPr>
        <w:t>acceleration of the obligations of the parties, so that those obligations are to be immediately due and expressed as an obligation to pay an amount representing their current value estimated or terminated and replaced by an obligation to pay such an amount;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851" w:right="-71" w:hanging="284"/>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b) establishing a record for the amount that is due from each party under these obligations and an amount equal to the net balance is payable by the party whose debt is the highest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3"/>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multilateral</w:t>
      </w:r>
      <w:r w:rsidRPr="00511881">
        <w:rPr>
          <w:rFonts w:ascii="Times New Roman" w:eastAsia="Times New Roman" w:hAnsi="Times New Roman" w:cs="Times New Roman"/>
          <w:color w:val="000000"/>
          <w:sz w:val="26"/>
          <w:szCs w:val="26"/>
          <w:lang w:eastAsia="en-ZA"/>
        </w:rPr>
        <w:t xml:space="preserve"> compensation:.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conversion of receivables and obligations resulting from transfer orders that one or more participants emit in favor of one or more other participants or receive them in a debt or in one net obligation, so that only a net claim can be demanded or a net obligation may be dueaccount.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4"/>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settlement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the account opened with a settlement agent or a central counterparty used to hold funds and securities and to settle transactions between participants in a systemcounterparty.</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5"/>
        </w:numPr>
        <w:spacing w:after="0" w:line="240" w:lineRule="auto"/>
        <w:ind w:left="495"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Central</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institution that is the intermediary between the participants in a system and which acts as the exclusive counterparty of these participants regarding their orderstransferinstrument.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6"/>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Transmitterof payment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any entity that provides payment instruments to users to make paymentscollateral.</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7"/>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Done resulting in the realization of</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event of default or any similar event agreed between the parties, including the occurrence under the financial guarantee contract or under law, entitles the beneficiary of the guarantee to realize or appropriate financial collateral or trigger a netting ofterm.</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8"/>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lastRenderedPageBreak/>
        <w:t>financial guarantee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708"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species, financial instruments, precious metals or other realizable asset, including funds, provided under a pledge, a repurchase agreement, a fiduciary transfer or similar agreement, or another way, in order to guarantee the rights and obligations that may arise in the context of asystem.</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9"/>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payment  Problem:</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02"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any issue of payment instruments without provision or insufficient funds, forgery or fraud instruments of payment, any use of lost or stolen payment instruments, or any other highly irregular on the unregulated payment instruments under this Act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20"/>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payment</w:t>
      </w:r>
      <w:r w:rsidRPr="00511881">
        <w:rPr>
          <w:rFonts w:ascii="Times New Roman" w:eastAsia="Times New Roman" w:hAnsi="Times New Roman" w:cs="Times New Roman"/>
          <w:color w:val="000000"/>
          <w:sz w:val="26"/>
          <w:szCs w:val="26"/>
          <w:lang w:eastAsia="en-ZA"/>
        </w:rPr>
        <w:t>instruments:.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any personalized device or set of procedures agreed between the user payment service and the payment service provider and to which the user of payment services in order to initiate a payment order.</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These instruments are checks, bills of exchange, transfer orders, direct debits, payment card , electronic money and other instrument on paper or electronic form through which people can make payments, with the exception of bank notes and coinsinstrument.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21"/>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electronic</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02"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signal recording in computer memory, be incorporated into a credit card provided by the issuer to the bearer, and which can be named or anonymous, is included in a computer, loaded by the user or managed in a centralized</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22"/>
        </w:numPr>
        <w:spacing w:after="0" w:line="240" w:lineRule="auto"/>
        <w:ind w:left="495"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financial instruments: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equities and other securities equivalent to shares , bonds and other marketable debt instruments on the money market and capitallaw.</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23"/>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banking</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law on the activity and supervision of credit institutionsmoney:.</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24"/>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electronic</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monetary value which is: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25"/>
        </w:numPr>
        <w:spacing w:after="0" w:line="240" w:lineRule="auto"/>
        <w:ind w:left="142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charge in electronic form and representing a claim on the issuer</w:t>
      </w:r>
    </w:p>
    <w:p w:rsidR="00511881" w:rsidRPr="00511881" w:rsidRDefault="00511881" w:rsidP="00511881">
      <w:pPr>
        <w:numPr>
          <w:ilvl w:val="0"/>
          <w:numId w:val="25"/>
        </w:numPr>
        <w:spacing w:after="0" w:line="240" w:lineRule="auto"/>
        <w:ind w:left="142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issued against the remittance of funds for payment transactions;</w:t>
      </w:r>
    </w:p>
    <w:p w:rsidR="00511881" w:rsidRPr="00511881" w:rsidRDefault="00511881" w:rsidP="00511881">
      <w:pPr>
        <w:numPr>
          <w:ilvl w:val="0"/>
          <w:numId w:val="25"/>
        </w:numPr>
        <w:spacing w:after="0" w:line="240" w:lineRule="auto"/>
        <w:ind w:left="142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accepted by a natural or legal person other than the electronic money issuer</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26"/>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system</w:t>
      </w:r>
      <w:r w:rsidRPr="00511881">
        <w:rPr>
          <w:rFonts w:ascii="Times New Roman" w:eastAsia="Times New Roman" w:hAnsi="Times New Roman" w:cs="Times New Roman"/>
          <w:color w:val="000000"/>
          <w:sz w:val="26"/>
          <w:szCs w:val="26"/>
          <w:lang w:eastAsia="en-ZA"/>
        </w:rPr>
        <w:t xml:space="preserve"> Operator.</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institution responsible operation administration of a payment system;</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27"/>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payment Operator:</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institution that performs an action initiated by the payer or the payee, of placing, transferring or withdrawing funds, irrespective of any underlying obligations between the payer and the beneficiary.</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28"/>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color w:val="000000"/>
          <w:sz w:val="26"/>
          <w:szCs w:val="26"/>
          <w:lang w:eastAsia="en-ZA"/>
        </w:rPr>
        <w:lastRenderedPageBreak/>
        <w:t> Participant: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institution which is party to an agreement establishing a system, including its operator and responsible for discharging the financial obligations arising from transfer orders within this systemproceedings.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29"/>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Bankruptcy</w:t>
      </w:r>
      <w:r w:rsidRPr="00511881">
        <w:rPr>
          <w:rFonts w:ascii="Times New Roman" w:eastAsia="Times New Roman" w:hAnsi="Times New Roman" w:cs="Times New Roman"/>
          <w:b/>
          <w:bCs/>
          <w:color w:val="FF0000"/>
          <w:sz w:val="26"/>
          <w:szCs w:val="26"/>
          <w:lang w:eastAsia="en-ZA"/>
        </w:rPr>
        <w:t>(Orinsolvency</w:t>
      </w:r>
      <w:r w:rsidRPr="00511881">
        <w:rPr>
          <w:rFonts w:ascii="Times New Roman" w:eastAsia="Times New Roman" w:hAnsi="Times New Roman" w:cs="Times New Roman"/>
          <w:b/>
          <w:bCs/>
          <w:color w:val="000000"/>
          <w:sz w:val="26"/>
          <w:szCs w:val="26"/>
          <w:lang w:eastAsia="en-ZA"/>
        </w:rPr>
        <w:t xml:space="preserve">procedure?):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02"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meaning of this Act, any collective measure provided by Congolese law or by the law of another country to either to wind up a party or from the reorganization, where such measure involves the suspension or limitation of transfers or payments. In DRC, the insolvency proceedings (or insolvency proceedings) includes the decision of receivership and liquidation of assets or the decision to voluntary or forced liquidation</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30"/>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 xml:space="preserve">system.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02"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A system of payment, clearing or settlement-systemtitles</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31"/>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Pensiondelivered.</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02"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operation by which a participant in a system gives full ownership to another participant, at an agreed price, values, securities or effect and which the assignor and the assignee undertake respectively and irrevocably, the first that the values, securities or effect, the second to reassign it to a price and the agreed date ofsystem.</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32"/>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 xml:space="preserve">payment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a system for transferring funds governed by formal and standardized arrangements and common rules for the processing, the clearing and settlement of payment transactions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33"/>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securities settlement system</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complete set of institutional arrangements for confirmation, exchange and securities transaction settlement and custody of securities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34"/>
        </w:numPr>
        <w:spacing w:after="0" w:line="240" w:lineRule="auto"/>
        <w:ind w:right="-71"/>
        <w:jc w:val="both"/>
        <w:textAlignment w:val="baseline"/>
        <w:rPr>
          <w:rFonts w:ascii="Times New Roman" w:eastAsia="Times New Roman" w:hAnsi="Times New Roman" w:cs="Times New Roman"/>
          <w:b/>
          <w:bCs/>
          <w:color w:val="000000"/>
          <w:sz w:val="26"/>
          <w:szCs w:val="26"/>
          <w:lang w:eastAsia="en-ZA"/>
        </w:rPr>
      </w:pPr>
      <w:r w:rsidRPr="00511881">
        <w:rPr>
          <w:rFonts w:ascii="Times New Roman" w:eastAsia="Times New Roman" w:hAnsi="Times New Roman" w:cs="Times New Roman"/>
          <w:b/>
          <w:bCs/>
          <w:color w:val="000000"/>
          <w:sz w:val="26"/>
          <w:szCs w:val="26"/>
          <w:lang w:eastAsia="en-ZA"/>
        </w:rPr>
        <w:t>transfer..</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 xml:space="preserve">the operation by which a content account on the orders of his client transfers funds to a beneficiary third party designated by the credit of his account and debiting the account of the clientII. </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lastRenderedPageBreak/>
        <w:t xml:space="preserve">TITLE  PROVISIONS RELATING tO SYSTEMS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 xml:space="preserve">CHAPTER I: PARTICIPATION  AND </w:t>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                          RULESOPERATION oF PAYMENT sYSTEMS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35"/>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Calibri" w:eastAsia="Times New Roman" w:hAnsi="Calibri" w:cs="Calibri"/>
          <w:i/>
          <w:iCs/>
          <w:color w:val="000000"/>
          <w:sz w:val="26"/>
          <w:szCs w:val="26"/>
          <w:lang w:eastAsia="en-ZA"/>
        </w:rPr>
        <w:t xml:space="preserve">Can be participants in asystem: </w:t>
      </w:r>
      <w:r w:rsidRPr="00511881">
        <w:rPr>
          <w:rFonts w:ascii="Times New Roman" w:eastAsia="Times New Roman" w:hAnsi="Times New Roman" w:cs="Times New Roman"/>
          <w:color w:val="000000"/>
          <w:sz w:val="26"/>
          <w:szCs w:val="26"/>
          <w:lang w:eastAsia="en-ZA"/>
        </w:rPr>
        <w:t>particular</w:t>
      </w:r>
    </w:p>
    <w:p w:rsidR="00511881" w:rsidRPr="00511881" w:rsidRDefault="00511881" w:rsidP="00511881">
      <w:pPr>
        <w:numPr>
          <w:ilvl w:val="0"/>
          <w:numId w:val="36"/>
        </w:numPr>
        <w:spacing w:after="0" w:line="240" w:lineRule="auto"/>
        <w:ind w:left="1425" w:right="-71"/>
        <w:jc w:val="both"/>
        <w:textAlignment w:val="baseline"/>
        <w:rPr>
          <w:rFonts w:ascii="Arial" w:eastAsia="Times New Roman" w:hAnsi="Arial" w:cs="Arial"/>
          <w:b/>
          <w:bCs/>
          <w:color w:val="000000"/>
          <w:sz w:val="26"/>
          <w:szCs w:val="26"/>
          <w:lang w:eastAsia="en-ZA"/>
        </w:rPr>
      </w:pPr>
      <w:r w:rsidRPr="00511881">
        <w:rPr>
          <w:rFonts w:ascii="Times New Roman" w:eastAsia="Times New Roman" w:hAnsi="Times New Roman" w:cs="Times New Roman"/>
          <w:color w:val="000000"/>
          <w:sz w:val="26"/>
          <w:szCs w:val="26"/>
          <w:lang w:eastAsia="en-ZA"/>
        </w:rPr>
        <w:t>the Central Bank,</w:t>
      </w:r>
    </w:p>
    <w:p w:rsidR="00511881" w:rsidRPr="00511881" w:rsidRDefault="00511881" w:rsidP="00511881">
      <w:pPr>
        <w:numPr>
          <w:ilvl w:val="0"/>
          <w:numId w:val="36"/>
        </w:numPr>
        <w:spacing w:after="0" w:line="240" w:lineRule="auto"/>
        <w:ind w:left="1425" w:right="-71"/>
        <w:jc w:val="both"/>
        <w:textAlignment w:val="baseline"/>
        <w:rPr>
          <w:rFonts w:ascii="Arial" w:eastAsia="Times New Roman" w:hAnsi="Arial" w:cs="Arial"/>
          <w:b/>
          <w:bCs/>
          <w:color w:val="000000"/>
          <w:sz w:val="26"/>
          <w:szCs w:val="26"/>
          <w:lang w:eastAsia="en-ZA"/>
        </w:rPr>
      </w:pPr>
      <w:r w:rsidRPr="00511881">
        <w:rPr>
          <w:rFonts w:ascii="Times New Roman" w:eastAsia="Times New Roman" w:hAnsi="Times New Roman" w:cs="Times New Roman"/>
          <w:color w:val="000000"/>
          <w:sz w:val="26"/>
          <w:szCs w:val="26"/>
          <w:lang w:eastAsia="en-ZA"/>
        </w:rPr>
        <w:t>the Credit Institutions;</w:t>
      </w:r>
    </w:p>
    <w:p w:rsidR="00511881" w:rsidRPr="00511881" w:rsidRDefault="00511881" w:rsidP="00511881">
      <w:pPr>
        <w:numPr>
          <w:ilvl w:val="0"/>
          <w:numId w:val="36"/>
        </w:numPr>
        <w:spacing w:after="0" w:line="240" w:lineRule="auto"/>
        <w:ind w:left="1425" w:right="-71"/>
        <w:jc w:val="both"/>
        <w:textAlignment w:val="baseline"/>
        <w:rPr>
          <w:rFonts w:ascii="Arial" w:eastAsia="Times New Roman" w:hAnsi="Arial" w:cs="Arial"/>
          <w:b/>
          <w:bCs/>
          <w:color w:val="000000"/>
          <w:sz w:val="26"/>
          <w:szCs w:val="26"/>
          <w:lang w:eastAsia="en-ZA"/>
        </w:rPr>
      </w:pPr>
      <w:r w:rsidRPr="00511881">
        <w:rPr>
          <w:rFonts w:ascii="Times New Roman" w:eastAsia="Times New Roman" w:hAnsi="Times New Roman" w:cs="Times New Roman"/>
          <w:color w:val="000000"/>
          <w:sz w:val="26"/>
          <w:szCs w:val="26"/>
          <w:lang w:eastAsia="en-ZA"/>
        </w:rPr>
        <w:t>harvesters the financial services of the station;</w:t>
      </w:r>
    </w:p>
    <w:p w:rsidR="00511881" w:rsidRPr="00511881" w:rsidRDefault="00511881" w:rsidP="00511881">
      <w:pPr>
        <w:numPr>
          <w:ilvl w:val="0"/>
          <w:numId w:val="36"/>
        </w:numPr>
        <w:spacing w:after="0" w:line="240" w:lineRule="auto"/>
        <w:ind w:left="1425" w:right="-71"/>
        <w:jc w:val="both"/>
        <w:textAlignment w:val="baseline"/>
        <w:rPr>
          <w:rFonts w:ascii="Arial" w:eastAsia="Times New Roman" w:hAnsi="Arial" w:cs="Arial"/>
          <w:b/>
          <w:bCs/>
          <w:color w:val="000000"/>
          <w:sz w:val="26"/>
          <w:szCs w:val="26"/>
          <w:lang w:eastAsia="en-ZA"/>
        </w:rPr>
      </w:pPr>
      <w:r w:rsidRPr="00511881">
        <w:rPr>
          <w:rFonts w:ascii="Times New Roman" w:eastAsia="Times New Roman" w:hAnsi="Times New Roman" w:cs="Times New Roman"/>
          <w:color w:val="000000"/>
          <w:sz w:val="26"/>
          <w:szCs w:val="26"/>
          <w:lang w:eastAsia="en-ZA"/>
        </w:rPr>
        <w:t>the system settlement Agent;</w:t>
      </w:r>
    </w:p>
    <w:p w:rsidR="00511881" w:rsidRPr="00511881" w:rsidRDefault="00511881" w:rsidP="00511881">
      <w:pPr>
        <w:numPr>
          <w:ilvl w:val="0"/>
          <w:numId w:val="36"/>
        </w:numPr>
        <w:spacing w:after="0" w:line="240" w:lineRule="auto"/>
        <w:ind w:left="1425" w:right="-71"/>
        <w:jc w:val="both"/>
        <w:textAlignment w:val="baseline"/>
        <w:rPr>
          <w:rFonts w:ascii="Arial" w:eastAsia="Times New Roman" w:hAnsi="Arial" w:cs="Arial"/>
          <w:b/>
          <w:bCs/>
          <w:color w:val="000000"/>
          <w:sz w:val="26"/>
          <w:szCs w:val="26"/>
          <w:lang w:eastAsia="en-ZA"/>
        </w:rPr>
      </w:pPr>
      <w:r w:rsidRPr="00511881">
        <w:rPr>
          <w:rFonts w:ascii="Times New Roman" w:eastAsia="Times New Roman" w:hAnsi="Times New Roman" w:cs="Times New Roman"/>
          <w:color w:val="000000"/>
          <w:sz w:val="26"/>
          <w:szCs w:val="26"/>
          <w:lang w:eastAsia="en-ZA"/>
        </w:rPr>
        <w:t>compensations Chambers;</w:t>
      </w:r>
    </w:p>
    <w:p w:rsidR="00511881" w:rsidRPr="00511881" w:rsidRDefault="00511881" w:rsidP="00511881">
      <w:pPr>
        <w:numPr>
          <w:ilvl w:val="0"/>
          <w:numId w:val="36"/>
        </w:numPr>
        <w:spacing w:after="0" w:line="240" w:lineRule="auto"/>
        <w:ind w:left="1425" w:right="-71"/>
        <w:jc w:val="both"/>
        <w:textAlignment w:val="baseline"/>
        <w:rPr>
          <w:rFonts w:ascii="Arial" w:eastAsia="Times New Roman" w:hAnsi="Arial" w:cs="Arial"/>
          <w:b/>
          <w:bCs/>
          <w:color w:val="000000"/>
          <w:sz w:val="26"/>
          <w:szCs w:val="26"/>
          <w:lang w:eastAsia="en-ZA"/>
        </w:rPr>
      </w:pPr>
      <w:r w:rsidRPr="00511881">
        <w:rPr>
          <w:rFonts w:ascii="Times New Roman" w:eastAsia="Times New Roman" w:hAnsi="Times New Roman" w:cs="Times New Roman"/>
          <w:color w:val="000000"/>
          <w:sz w:val="26"/>
          <w:szCs w:val="26"/>
          <w:lang w:eastAsia="en-ZA"/>
        </w:rPr>
        <w:t>the system Operator,</w:t>
      </w:r>
    </w:p>
    <w:p w:rsidR="00511881" w:rsidRPr="00511881" w:rsidRDefault="00511881" w:rsidP="00511881">
      <w:pPr>
        <w:numPr>
          <w:ilvl w:val="0"/>
          <w:numId w:val="36"/>
        </w:numPr>
        <w:spacing w:after="0" w:line="240" w:lineRule="auto"/>
        <w:ind w:left="1425" w:right="-71"/>
        <w:jc w:val="both"/>
        <w:textAlignment w:val="baseline"/>
        <w:rPr>
          <w:rFonts w:ascii="Arial" w:eastAsia="Times New Roman" w:hAnsi="Arial" w:cs="Arial"/>
          <w:b/>
          <w:bCs/>
          <w:color w:val="000000"/>
          <w:sz w:val="26"/>
          <w:szCs w:val="26"/>
          <w:lang w:eastAsia="en-ZA"/>
        </w:rPr>
      </w:pPr>
      <w:r w:rsidRPr="00511881">
        <w:rPr>
          <w:rFonts w:ascii="Times New Roman" w:eastAsia="Times New Roman" w:hAnsi="Times New Roman" w:cs="Times New Roman"/>
          <w:color w:val="000000"/>
          <w:sz w:val="26"/>
          <w:szCs w:val="26"/>
          <w:lang w:eastAsia="en-ZA"/>
        </w:rPr>
        <w:t>the</w:t>
      </w:r>
    </w:p>
    <w:p w:rsidR="00511881" w:rsidRPr="00511881" w:rsidRDefault="00511881" w:rsidP="00511881">
      <w:pPr>
        <w:numPr>
          <w:ilvl w:val="0"/>
          <w:numId w:val="36"/>
        </w:numPr>
        <w:spacing w:after="0" w:line="240" w:lineRule="auto"/>
        <w:ind w:left="1425" w:right="-71"/>
        <w:jc w:val="both"/>
        <w:textAlignment w:val="baseline"/>
        <w:rPr>
          <w:rFonts w:ascii="Arial" w:eastAsia="Times New Roman" w:hAnsi="Arial" w:cs="Arial"/>
          <w:b/>
          <w:bCs/>
          <w:color w:val="000000"/>
          <w:sz w:val="26"/>
          <w:szCs w:val="26"/>
          <w:lang w:eastAsia="en-ZA"/>
        </w:rPr>
      </w:pPr>
      <w:r w:rsidRPr="00511881">
        <w:rPr>
          <w:rFonts w:ascii="Times New Roman" w:eastAsia="Times New Roman" w:hAnsi="Times New Roman" w:cs="Times New Roman"/>
          <w:color w:val="000000"/>
          <w:sz w:val="26"/>
          <w:szCs w:val="26"/>
          <w:lang w:eastAsia="en-ZA"/>
        </w:rPr>
        <w:t>the Treasury</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37"/>
        </w:numPr>
        <w:spacing w:before="100" w:beforeAutospacing="1" w:after="100" w:afterAutospacing="1" w:line="240" w:lineRule="auto"/>
        <w:ind w:left="1065"/>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CCP;..operating rules of payment systems operated by the Central Bank are developed under the responsibility of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operating rules of the payment systems operated by third parties are subject to the Bank Central to prior approval.</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payment systems should be organized to ensure the orderly settlement of transfer orders.</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rules of functioning of payment systems must be adequate in relation to the nature, the volume of activities and number of participants must:.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considered,they</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hanging="283"/>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1 ° define the conditions of admission, suspension and possible exclusion of participants in the system;</w:t>
      </w:r>
    </w:p>
    <w:p w:rsidR="00511881" w:rsidRPr="00511881" w:rsidRDefault="00511881" w:rsidP="00511881">
      <w:pPr>
        <w:spacing w:after="0" w:line="240" w:lineRule="auto"/>
        <w:ind w:left="567" w:right="-71" w:hanging="283"/>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2. define the rights and obligations of participants arising from their participation in the system; </w:t>
      </w:r>
    </w:p>
    <w:p w:rsidR="00511881" w:rsidRPr="00511881" w:rsidRDefault="00511881" w:rsidP="00511881">
      <w:pPr>
        <w:spacing w:after="0" w:line="240" w:lineRule="auto"/>
        <w:ind w:left="567" w:right="-71" w:hanging="283"/>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3. define when a transfer order into the system;</w:t>
      </w:r>
    </w:p>
    <w:p w:rsidR="00511881" w:rsidRPr="00511881" w:rsidRDefault="00511881" w:rsidP="00511881">
      <w:pPr>
        <w:spacing w:after="0" w:line="240" w:lineRule="auto"/>
        <w:ind w:left="567" w:right="-71" w:hanging="283"/>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 xml:space="preserve">4. determine the time at which a transfer order may not be </w:t>
      </w:r>
    </w:p>
    <w:p w:rsidR="00511881" w:rsidRPr="00511881" w:rsidRDefault="00511881" w:rsidP="00511881">
      <w:pPr>
        <w:spacing w:after="0" w:line="240" w:lineRule="auto"/>
        <w:ind w:left="567" w:right="-71" w:hanging="283"/>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revoked by a participant in that system or a third party;</w:t>
      </w:r>
    </w:p>
    <w:p w:rsidR="00511881" w:rsidRPr="00511881" w:rsidRDefault="00511881" w:rsidP="00511881">
      <w:pPr>
        <w:spacing w:after="0" w:line="240" w:lineRule="auto"/>
        <w:ind w:left="567" w:right="-71" w:hanging="283"/>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5. specify the mode of settlement of transfer orders;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567" w:right="-71" w:hanging="283"/>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6. establish the settlement procedures applicable in ordinary situation and crisis; </w:t>
      </w:r>
    </w:p>
    <w:p w:rsidR="00511881" w:rsidRPr="00511881" w:rsidRDefault="00511881" w:rsidP="00511881">
      <w:pPr>
        <w:spacing w:after="0" w:line="240" w:lineRule="auto"/>
        <w:ind w:left="567" w:right="-71" w:hanging="283"/>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7. establish risk management procedures;</w:t>
      </w:r>
    </w:p>
    <w:p w:rsidR="00511881" w:rsidRPr="00511881" w:rsidRDefault="00511881" w:rsidP="00511881">
      <w:pPr>
        <w:spacing w:after="0" w:line="240" w:lineRule="auto"/>
        <w:ind w:left="567" w:right="-71" w:hanging="283"/>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8. indicate the competent jurisdiction in case of litigation;</w:t>
      </w:r>
    </w:p>
    <w:p w:rsidR="00511881" w:rsidRPr="00511881" w:rsidRDefault="00511881" w:rsidP="00511881">
      <w:pPr>
        <w:spacing w:after="0" w:line="240" w:lineRule="auto"/>
        <w:ind w:left="567" w:right="-71" w:hanging="283"/>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9 ° define the debiting of participants settlement accounts the books of the settlement agentII.</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 xml:space="preserve">CHAPTER  PROTECTION sYSTEMS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1843" w:hanging="1843"/>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DIVISION I: tHE dEFINITIVE nATURE oF pAYMENTS aND rEGULATIONS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38"/>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payments and regulations within the system are finalin.</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the insolvency proceedings opened  against a participant has no retroactive effect on the rights and obligations of a participant arising from its participation in a system, or in connection with such interest, before the time of the opening of this procedure insolvency.</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for the purposes of this Act, the moment of opening of insolvency proceedings against a participant in a system is the point at which the operator of the system is informed of the opening of . said procedure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following operations are valid, enforceable against the liquidator and / or third parties and may in no case be challenged:</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39"/>
        </w:numPr>
        <w:spacing w:after="0" w:line="240" w:lineRule="auto"/>
        <w:ind w:left="495" w:right="-71"/>
        <w:jc w:val="both"/>
        <w:textAlignment w:val="baseline"/>
        <w:rPr>
          <w:rFonts w:ascii="Times New Roman" w:eastAsia="Times New Roman" w:hAnsi="Times New Roman" w:cs="Times New Roman"/>
          <w:color w:val="000000"/>
          <w:sz w:val="26"/>
          <w:szCs w:val="26"/>
          <w:lang w:eastAsia="en-ZA"/>
        </w:rPr>
      </w:pPr>
      <w:r w:rsidRPr="00511881">
        <w:rPr>
          <w:rFonts w:ascii="Times New Roman" w:eastAsia="Times New Roman" w:hAnsi="Times New Roman" w:cs="Times New Roman"/>
          <w:color w:val="000000"/>
          <w:sz w:val="26"/>
          <w:szCs w:val="26"/>
          <w:lang w:eastAsia="en-ZA"/>
        </w:rPr>
        <w:t>transfer orders, payments and settlements resulting from such transfer orders that were introduced in the system in accordance with the rules of the system before the moment of opening of insolvency proceedings, even if the payment or settlement took place after the time of the opening of the insolvency proceedings;</w:t>
      </w: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w:t>
      </w:r>
    </w:p>
    <w:p w:rsidR="00511881" w:rsidRPr="00511881" w:rsidRDefault="00511881" w:rsidP="00511881">
      <w:pPr>
        <w:numPr>
          <w:ilvl w:val="0"/>
          <w:numId w:val="40"/>
        </w:numPr>
        <w:spacing w:after="0" w:line="240" w:lineRule="auto"/>
        <w:ind w:left="495" w:right="-71"/>
        <w:jc w:val="both"/>
        <w:textAlignment w:val="baseline"/>
        <w:rPr>
          <w:rFonts w:ascii="Times New Roman" w:eastAsia="Times New Roman" w:hAnsi="Times New Roman" w:cs="Times New Roman"/>
          <w:color w:val="000000"/>
          <w:sz w:val="26"/>
          <w:szCs w:val="26"/>
          <w:lang w:eastAsia="en-ZA"/>
        </w:rPr>
      </w:pPr>
      <w:r w:rsidRPr="00511881">
        <w:rPr>
          <w:rFonts w:ascii="Times New Roman" w:eastAsia="Times New Roman" w:hAnsi="Times New Roman" w:cs="Times New Roman"/>
          <w:color w:val="000000"/>
          <w:sz w:val="26"/>
          <w:szCs w:val="26"/>
          <w:lang w:eastAsia="en-ZA"/>
        </w:rPr>
        <w:t xml:space="preserve">clearing of transfer orders, and debts and obligations arising from such transfer orders when they have been introduced into the system in accordance with the rules of the system before the moment of </w:t>
      </w:r>
      <w:r w:rsidRPr="00511881">
        <w:rPr>
          <w:rFonts w:ascii="Times New Roman" w:eastAsia="Times New Roman" w:hAnsi="Times New Roman" w:cs="Times New Roman"/>
          <w:color w:val="000000"/>
          <w:sz w:val="26"/>
          <w:szCs w:val="26"/>
          <w:lang w:eastAsia="en-ZA"/>
        </w:rPr>
        <w:lastRenderedPageBreak/>
        <w:t>opening of insolvency proceedings, even if the compensation occurred after the time of the opening of the insolvency proceedings.</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41"/>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a transfer order into a system can not be revoked by a participant or a third party, including the liquidator, from the moment defined by the rules of the system, without prejudice to any means that may exist or be used for recovery of the amount equivalent to the transfer in cases of fraud, error or any other similar factor.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when it is subsequently established that amount right or was improperly paid or transferred, there is a charge debt of a beneficiary or assignee to the person who paid or transferred, as applicable.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42"/>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 xml:space="preserve">Notwithstanding the opening of insolvency proceedings against a participant in a system the operator of the system or the settlement agent may use cash and financial instruments available on the defaulting participant's settlement account to pay obligations on compulsory debiting his account to set the transfer orders courses and / or by offsetting with any debit balance the participant resulting from compensation to allow the final settlement of the system.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to the same end, where </w:t>
      </w:r>
      <w:r w:rsidRPr="00511881">
        <w:rPr>
          <w:rFonts w:ascii="Times New Roman" w:eastAsia="Times New Roman" w:hAnsi="Times New Roman" w:cs="Times New Roman"/>
          <w:color w:val="000000"/>
          <w:sz w:val="26"/>
          <w:szCs w:val="26"/>
          <w:shd w:val="clear" w:color="auto" w:fill="FFFF00"/>
          <w:lang w:eastAsia="en-ZA"/>
        </w:rPr>
        <w:t>appropriate,</w:t>
      </w:r>
      <w:r w:rsidRPr="00511881">
        <w:rPr>
          <w:rFonts w:ascii="Times New Roman" w:eastAsia="Times New Roman" w:hAnsi="Times New Roman" w:cs="Times New Roman"/>
          <w:color w:val="000000"/>
          <w:sz w:val="26"/>
          <w:szCs w:val="26"/>
          <w:lang w:eastAsia="en-ZA"/>
        </w:rPr>
        <w:t xml:space="preserve"> the operator or the settlement agent is also authorized to use credit lines granted to the participant and to realize any collateral in order to secure credit.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43"/>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Where insolvency proceedings are initiated by the court against an operator or participant the Registry shall inform the Central Bank without delay.</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If the Central Bank itself decides to open insolvency proceedings against a participant in authorizing the voluntary or forced liquidation, shall state in its decision the precise moment of the opening this procedure.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once informed of the opening of insolvency proceedings or after its decision under paragraphs 1 and 2 above, the Central Bank shall inform without delay the domestic systems and their operators and that foreign systems and their operators, if cooperation agreements provide.</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the same principles apply mutatis mutandis if a decision to suspend, limit or terminate payment of the participant or the operator has been taken by the interim administrator or the Commissioner to recovery in accordance with the banking Act. </w:t>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Central Bank shall as soon as possible to domestic systems and operators any information received from foreign authorities, as part of cooperation agreements with them, in relation to the opening of insolvency proceedings initiated in respect of a system participant or operator abroad.</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44"/>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the settlement account can be subject to escrow, blockages or entered by the operator of the system or the settlement agent, and up to the amount of the debt involved.</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45"/>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in case of insolvency proceedings against a foreign participant in a payment system governed by this Act, the rights and obligations inherent in the participation of the foreign participant is governed and determined entirely and exclusively by Congolese law.</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in the event of insolvency proceedings against a domestic to a foreign participant payment system, the inherent rights and obligations or related to the participation of that participant in such a system are governed and determined entirely and exclusively by the law governing that foreign system .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SECTION II: fINANCIAL gUARANTEES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46"/>
        </w:numPr>
        <w:spacing w:before="100" w:beforeAutospacing="1" w:after="100" w:afterAutospacing="1" w:line="240" w:lineRule="auto"/>
        <w:ind w:left="360"/>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the participants in a system should be the financial guarantees necessary for the performance of their current and future obligations, actual or contingent they contract under that systemspecies.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Such financial guarantees may be  financial instruments or precious metals.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They can be made ​​in the form of pledge, repo or other guarantees fungibility.</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Notwithstanding the legal or contractual provisions applicable to them, the creation and enforcement of financial guarantees provided by the this Act are governed by the provisions of this section.</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This Act applies to all forms of financial guarantee contracts to guarantee all types of bonds, whether bonds present or future, actual or contingent, due to the beneficiary of the guarantee, the collateral provider or by another person.</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financial guarantee contracts include the pledge, transfer property as collateral, including repo transactions following the ad hoc contracts.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47"/>
        </w:numPr>
        <w:spacing w:before="100" w:beforeAutospacing="1" w:after="100" w:afterAutospacing="1" w:line="240" w:lineRule="auto"/>
        <w:ind w:left="360"/>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financial guarantee contracts are valid , binding and enforceable against third parties, including the liquidator, and produce its effects in accordance with contractual provisions that govern them.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validly financial guarantee contracts concluded between the parties is enforceable against third parties once the financial guarantee is provided, transferred, held , registered or otherwise identified so that it is in possession or under the control of the beneficiary of the guarantee, without prejudice to the possibility for the system operator to establish financial guarantees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48"/>
        </w:numPr>
        <w:spacing w:before="100" w:beforeAutospacing="1" w:after="100" w:afterAutospacing="1" w:line="240" w:lineRule="auto"/>
        <w:ind w:left="360"/>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compensation clauses closeout netting are valid , binding and enforceable against third parties, including the liquidator, and produce its effects immediately, without notice or approval or intervention of any jurisdiction, pursuant to the contractual provisions governing notwithstanding:</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49"/>
        </w:numPr>
        <w:spacing w:after="0" w:line="240" w:lineRule="auto"/>
        <w:jc w:val="both"/>
        <w:textAlignment w:val="baseline"/>
        <w:rPr>
          <w:rFonts w:ascii="Times New Roman" w:eastAsia="Times New Roman" w:hAnsi="Times New Roman" w:cs="Times New Roman"/>
          <w:color w:val="000000"/>
          <w:sz w:val="26"/>
          <w:szCs w:val="26"/>
          <w:lang w:eastAsia="en-ZA"/>
        </w:rPr>
      </w:pPr>
      <w:r w:rsidRPr="00511881">
        <w:rPr>
          <w:rFonts w:ascii="Times New Roman" w:eastAsia="Times New Roman" w:hAnsi="Times New Roman" w:cs="Times New Roman"/>
          <w:color w:val="000000"/>
          <w:sz w:val="26"/>
          <w:szCs w:val="26"/>
          <w:lang w:eastAsia="en-ZA"/>
        </w:rPr>
        <w:t>the opening of insolvency proceedings in respect of the collateral, the debtor and / or the beneficiary of the guarantee and / or the creditor;</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50"/>
        </w:numPr>
        <w:spacing w:after="0" w:line="240" w:lineRule="auto"/>
        <w:jc w:val="both"/>
        <w:textAlignment w:val="baseline"/>
        <w:rPr>
          <w:rFonts w:ascii="Times New Roman" w:eastAsia="Times New Roman" w:hAnsi="Times New Roman" w:cs="Times New Roman"/>
          <w:color w:val="000000"/>
          <w:sz w:val="26"/>
          <w:szCs w:val="26"/>
          <w:lang w:eastAsia="en-ZA"/>
        </w:rPr>
      </w:pPr>
      <w:r w:rsidRPr="00511881">
        <w:rPr>
          <w:rFonts w:ascii="Times New Roman" w:eastAsia="Times New Roman" w:hAnsi="Times New Roman" w:cs="Times New Roman"/>
          <w:color w:val="000000"/>
          <w:sz w:val="26"/>
          <w:szCs w:val="26"/>
          <w:lang w:eastAsia="en-ZA"/>
        </w:rPr>
        <w:t>any possible assignment, transfer, judicial foreclosure or other transfer of rights or on the rights which are the subject of the provisions the clause netting of the term.</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51"/>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financial guarantee contracts may contain additional financial guarantee clause to reflect changes in the value of the financial guarantee or the amount of the secured obligations.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financial guarantee contracts may also contain the right to remove the financial guarantee and to provide, by way of substitution or exchange, other financial guarantee substantially the same value.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52"/>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before="60" w:after="6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Upon the occurrence of the event as defined in the financial guarantee contract enforcement event financial guarantee, the beneficiary of the guarantee is entitled to realize or appropriate it immediately, without prior notice and without the intervention of any jurisdiction.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the beneficiary of the guarantee is a leading payment lien on the proceeds from the realization of financial security which he pledged.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53"/>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before="60" w:after="6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provision of financial guarantees can be declared invalid or void or be canceled due to the opening of insolvency proceedings, provided that was made ​​later than the day of the opening of the insolvency proceedings and at a time when the beneficiary of the guarantee was legitimately unaware of the opening of the insolvency proceedings.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54"/>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rights conferred by registration account of financial security shall be governed by the laws of the country where the account is heldIII.</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spacing w:after="0" w:line="240" w:lineRule="auto"/>
        <w:ind w:left="1418" w:hanging="1418"/>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TITLE  PROVISIONS oN PAYMENT INSTRUMENTS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CHAPTER I: GENERAL PROVISIONS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SECTION I: USE oFINSTRUMENTS oF PAYMENT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55"/>
        </w:numPr>
        <w:spacing w:before="100" w:beforeAutospacing="1" w:after="100" w:afterAutospacing="1" w:line="240" w:lineRule="auto"/>
        <w:ind w:left="360"/>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tHEissuer of a payment instrument shall have the obligation to provide its customers, on paper or on any other medium, information relating to the contract to be concluded and payment transactions to be made.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It has the obligation to available to its customers the tools and systems</w:t>
      </w:r>
      <w:r w:rsidRPr="00511881">
        <w:rPr>
          <w:rFonts w:ascii="Times New Roman" w:eastAsia="Times New Roman" w:hAnsi="Times New Roman" w:cs="Times New Roman"/>
          <w:color w:val="FF0000"/>
          <w:sz w:val="26"/>
          <w:szCs w:val="26"/>
          <w:lang w:eastAsia="en-ZA"/>
        </w:rPr>
        <w:t xml:space="preserve"> </w:t>
      </w:r>
      <w:r w:rsidRPr="00511881">
        <w:rPr>
          <w:rFonts w:ascii="Times New Roman" w:eastAsia="Times New Roman" w:hAnsi="Times New Roman" w:cs="Times New Roman"/>
          <w:color w:val="000000"/>
          <w:sz w:val="26"/>
          <w:szCs w:val="26"/>
          <w:lang w:eastAsia="en-ZA"/>
        </w:rPr>
        <w:t xml:space="preserve">standardized payment. </w:t>
      </w:r>
    </w:p>
    <w:p w:rsidR="00511881" w:rsidRPr="00511881" w:rsidRDefault="00511881" w:rsidP="00511881">
      <w:pPr>
        <w:numPr>
          <w:ilvl w:val="0"/>
          <w:numId w:val="56"/>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issuer of the payment instrument has to sign a contract with the person to whom it delivers the payment instrument and / or suppliers of goods and services who wish to accept it.</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This contract establishes the rights, obligations and responsibilities of the issuer and the user of the payment instrument in accordance with an instruction of the Central Bank.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costs relating to payment transactions must be brought prior to the attention of users of payment instruments.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57"/>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order payment may be given by means of an instrument drawn up on paper or electronically. The signature of the drawer and / or the beneficiary must be placed on a payment instrument, either by hand or by any process not manuscript.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58"/>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issuer of the payment instrument is obliged to issue written evidence to the beneficiary payment and / or the principal who has met regularly from its payment obligation-.</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SECTION II: oPPOSITION oF pAYMENTS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59"/>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holder may object in the following cases: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the loss of the instrument payment</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     -the fraudulent removal of the payment instrument;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holder must immediately confirm his opposition and give the reason in writing, regardless of the medium of this writing. This defense pay only ends by release or by prescription.</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60"/>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Any instrument of payment can be paid unless there revocation.</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revocation in such a context only applies to the relationship between the user and the issuer of payment instrument, and therefore does not affect the irrevocability and finality of payment transactions in payment systems in accordance with Article 6 of this ActIII.</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1701" w:hanging="1701"/>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 xml:space="preserve">sECTION  LIABILITY fOR oPERATION </w:t>
      </w:r>
    </w:p>
    <w:p w:rsidR="00511881" w:rsidRPr="00511881" w:rsidRDefault="00511881" w:rsidP="00511881">
      <w:pPr>
        <w:spacing w:after="0" w:line="240" w:lineRule="auto"/>
        <w:ind w:left="1701" w:hanging="1701"/>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                          nO aUTHORIZED oR bADLY eXECUTED</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61"/>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customer can make a claim from the issuer of payment instruments when the transaction executed is not authorized or incorrectly executed.</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in case of unauthorized payment transaction or evil executed, the issuer pays the payment instruments shall, where applicable, restore the debited payment account to the state it would have been if the unauthorized or incorrectly executed payment transaction had not taken place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in this case, the payee's payment instrument issuer must immediately reimburse the issuer pays the payment instrument the principal amount and the cost of this operation.</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the repayment made ​​in this context is considered as a new payment order. With the exception of these cases, disputes arising from the underlying relation to the payment order should be settled only between the payer and payee.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62"/>
        </w:numPr>
        <w:spacing w:before="100" w:beforeAutospacing="1" w:after="100" w:afterAutospacing="1" w:line="240" w:lineRule="auto"/>
        <w:ind w:left="360"/>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The Central Bank's provisions to organize the repayment of funds from a operation unauthorized or incorrectly executed.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63"/>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reimbursement provided for in Article 25 of this law, is not the responsibility of the reporting institution if the non-execution resulted either from the originator of the error or omission in the instructions, or due to an intermediary institution chosen by the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lastRenderedPageBreak/>
        <w:t>customer.SECTION IV: tIME oF EXECUTION</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64"/>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the payment period from the delivery of the instrument or order of up-front payment at the time the beneficiary customer's account is credited shall not exceed a limit set by the Central Bank.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This period takes account of the time of preparation of the operation before re-clearing, interbank settlement period, the rejection of delay this transaction by the receiving bank and the nature of the payment instrumentII.</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CHAPTER  PROMOTION oF pAYMENT INSTRUMENTS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1701" w:hanging="170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SECTION I: tHE RIGHT tO ACCOUNT aND ACCESS tO FINANCIAL SERVICES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65"/>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Any natural or legal person has the right to open an account with a bank, any credit institution authorized by the Central Bank to receive and collect funds from the public or operator of financial services of the post.  </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issuers of payment instruments are required to inform their clients and the public on general terms and pricing operations relating to the management of a deposit account on terms set by the Central Bank.</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66"/>
        </w:numPr>
        <w:spacing w:before="100" w:beforeAutospacing="1" w:after="100" w:afterAutospacing="1" w:line="240" w:lineRule="auto"/>
        <w:ind w:left="360"/>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in case of refusal opening account unmotivated opposed by three successively institutions, the Central Bank refers to a bank office or one of the entities referred to in the previous article that will be required to open a deposit account giving right to a minimum financial service.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service minimum financial includes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67"/>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lastRenderedPageBreak/>
        <w:t>account management,</w:t>
      </w:r>
    </w:p>
    <w:p w:rsidR="00511881" w:rsidRPr="00511881" w:rsidRDefault="00511881" w:rsidP="00511881">
      <w:pPr>
        <w:numPr>
          <w:ilvl w:val="0"/>
          <w:numId w:val="67"/>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the provision of at least one payment instrument, surrounded by the necessary safety and</w:t>
      </w:r>
    </w:p>
    <w:p w:rsidR="00511881" w:rsidRPr="00511881" w:rsidRDefault="00511881" w:rsidP="00511881">
      <w:pPr>
        <w:numPr>
          <w:ilvl w:val="0"/>
          <w:numId w:val="67"/>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the possibility of transfers (debit, collection and payment) from this</w:t>
      </w:r>
    </w:p>
    <w:p w:rsidR="00511881" w:rsidRPr="00511881" w:rsidRDefault="00511881" w:rsidP="00511881">
      <w:pPr>
        <w:numPr>
          <w:ilvl w:val="0"/>
          <w:numId w:val="67"/>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account;receiving and servicing compensation payment transactions for the client.</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Additional conditions of use of the account and the penalties in case of misuse or fraud are specified in the account opening agreementII.</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1843" w:hanging="1843"/>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SECTION  THE OBLIGATION TO PAY BY PAYMENT INSTRUMENTS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68"/>
        </w:numPr>
        <w:spacing w:before="100" w:beforeAutospacing="1" w:after="100" w:afterAutospacing="1" w:line="240" w:lineRule="auto"/>
        <w:ind w:left="360"/>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In localities with at least one credit institution or a giro service, payment service or an authorized institution issuing payment instruments, payment that exceeds the sum fixed by the Central Bank or who for the payment by fraction of a sum exceeding this amount must be made ​​by check, by bank or postal transfer, payment card or other payment instrument registering the amount paid at the rate of a given name to payer in an issuer of payment instrument.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the payment of salaries and wages is subject to the same conditions beyond the amount fixed by the Central Bank.</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provisions relating to the payment in bank money does not apply to people resident entities without a bank or issuer of account holder payment instruments.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69"/>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As part of their activities, issuers of payment instruments shall take appropriate measures for information and awareness needed to extension of payment instruments to their clientsIII:.</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SECTION  interbanking aND INTEROPERABILITY</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70"/>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 xml:space="preserve">All issuers of payment instruments have the obligation to cooperate to ensure the acceptability of payment instruments and exchange . in the best conditions of speed, security and cost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Central Bank the terms of access to interbanking and interoperabilityIII.</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CHAPTER  tHE tRANSFER</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71"/>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transfer order contains: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72"/>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 xml:space="preserve">instruction to the content statement by his client  transfer </w:t>
      </w:r>
    </w:p>
    <w:p w:rsidR="00511881" w:rsidRPr="00511881" w:rsidRDefault="00511881" w:rsidP="00511881">
      <w:pPr>
        <w:spacing w:after="0" w:line="240" w:lineRule="auto"/>
        <w:ind w:left="567"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tofunds, the amount is determined,</w:t>
      </w:r>
    </w:p>
    <w:p w:rsidR="00511881" w:rsidRPr="00511881" w:rsidRDefault="00511881" w:rsidP="00511881">
      <w:pPr>
        <w:numPr>
          <w:ilvl w:val="0"/>
          <w:numId w:val="73"/>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the indication of the account to be debited;</w:t>
      </w:r>
    </w:p>
    <w:p w:rsidR="00511881" w:rsidRPr="00511881" w:rsidRDefault="00511881" w:rsidP="00511881">
      <w:pPr>
        <w:numPr>
          <w:ilvl w:val="0"/>
          <w:numId w:val="73"/>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the indication of bank details of the beneficiary,</w:t>
      </w:r>
    </w:p>
    <w:p w:rsidR="00511881" w:rsidRPr="00511881" w:rsidRDefault="00511881" w:rsidP="00511881">
      <w:pPr>
        <w:numPr>
          <w:ilvl w:val="0"/>
          <w:numId w:val="73"/>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the date of issue;</w:t>
      </w:r>
    </w:p>
    <w:p w:rsidR="00511881" w:rsidRPr="00511881" w:rsidRDefault="00511881" w:rsidP="00511881">
      <w:pPr>
        <w:numPr>
          <w:ilvl w:val="0"/>
          <w:numId w:val="73"/>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the execution date and</w:t>
      </w:r>
    </w:p>
    <w:p w:rsidR="00511881" w:rsidRPr="00511881" w:rsidRDefault="00511881" w:rsidP="00511881">
      <w:pPr>
        <w:numPr>
          <w:ilvl w:val="0"/>
          <w:numId w:val="73"/>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lastRenderedPageBreak/>
        <w:t>the signature of the donor</w:t>
      </w:r>
    </w:p>
    <w:p w:rsidR="00511881" w:rsidRPr="00511881" w:rsidRDefault="00511881" w:rsidP="00511881">
      <w:pPr>
        <w:numPr>
          <w:ilvl w:val="0"/>
          <w:numId w:val="73"/>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order;.the reason for the transfer</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74"/>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the transfer order is irrevocable from debiting the account of the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client'stransfer is final as of the credit of the beneficiarydate..</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75"/>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of the transfer acceptance date is the  of fulfillment of all the requirements for the execution of a transfer order.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These conditions relate to the existence of a prior, sufficient funds and available and information needed for the execution of this order, including imposed by the verifications required by the regulations in force.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76"/>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issuer of payment instruments executes transfer orders it has accepted for the full amount, unless the originator has specified that the costs related to transfer are to be attributed in whole or in part to the beneficiaryIV.</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CHAPTER  tHE lEVY</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77"/>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authorization issued by the client and presented to the domiciliary account holder by the beneficiary holder of debits runs by transferpenalty.</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78"/>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Under  unenforceability of the reporting issuer account holder debit authorization includes: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ab/>
      </w:r>
    </w:p>
    <w:p w:rsidR="00511881" w:rsidRPr="00511881" w:rsidRDefault="00511881" w:rsidP="00511881">
      <w:pPr>
        <w:spacing w:after="0" w:line="240" w:lineRule="auto"/>
        <w:ind w:left="709" w:right="-71" w:hanging="709"/>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1. the name and bank details of the issuer of the notice of withdrawal and its transmitter number of debits issued by the Central Bank;</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2. the name and bank details ofprincipal</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thedebtor;</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3. the unconditional order to transfer funds;</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4. the amount of the transfer;</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5 ° the frequency of sampling;</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6 ° signingof the customer;</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.7 ° sampling pattern</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79"/>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Except for periodic sampling of the same amount, the creditor must, on pain of liability:</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224" w:hanging="224"/>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1. inform the debtor of the amount of levy at least five working days before the due date and abort if challenged. The debtor's silence is acceptance of the amount specified by the creditor;</w:t>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2. restore the debtor, within two working days, the funds collected by </w:t>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errorright.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80"/>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the samplingin the account of the payer has the effect of transferring the  property funds, subject to the payment order to the creditor of the issuer debits.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81"/>
        </w:numPr>
        <w:spacing w:before="100" w:beforeAutospacing="1" w:after="100" w:afterAutospacing="1" w:line="240" w:lineRule="auto"/>
        <w:ind w:left="360"/>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harvesting operation rules are set by the Central Bank.</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82"/>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the debtor may oppose a withdrawal within five working days prior to maturity.</w:t>
      </w:r>
    </w:p>
    <w:p w:rsidR="00511881" w:rsidRPr="00511881" w:rsidRDefault="00511881" w:rsidP="00511881">
      <w:pPr>
        <w:spacing w:after="0" w:line="240" w:lineRule="auto"/>
        <w:ind w:left="2127" w:hanging="2127"/>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CHAPTER V: THE PAYMENT CARD AND OTHER PAYMENT INSTRUMENTS AND METHODS OF ELECTRONIC FUNDS TRANSFER</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SECTION</w:t>
      </w:r>
      <w:r w:rsidRPr="00511881">
        <w:rPr>
          <w:rFonts w:ascii="Times New Roman" w:eastAsia="Times New Roman" w:hAnsi="Times New Roman" w:cs="Times New Roman"/>
          <w:b/>
          <w:bCs/>
          <w:i/>
          <w:iCs/>
          <w:color w:val="000000"/>
          <w:sz w:val="16"/>
          <w:szCs w:val="16"/>
          <w:vertAlign w:val="superscript"/>
          <w:lang w:eastAsia="en-ZA"/>
        </w:rPr>
        <w:t>era</w:t>
      </w:r>
      <w:r w:rsidRPr="00511881">
        <w:rPr>
          <w:rFonts w:ascii="Times New Roman" w:eastAsia="Times New Roman" w:hAnsi="Times New Roman" w:cs="Times New Roman"/>
          <w:b/>
          <w:bCs/>
          <w:i/>
          <w:iCs/>
          <w:color w:val="000000"/>
          <w:sz w:val="26"/>
          <w:szCs w:val="26"/>
          <w:lang w:eastAsia="en-ZA"/>
        </w:rPr>
        <w:t xml:space="preserve">I:OBLIGATIONS OF THE ISSUER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83"/>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The issuer of a credit card or other electronic payment instrument is signed a contract to the person and to suppliers of goods and services who wish to accept it. </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lastRenderedPageBreak/>
        <w:br/>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Before the contract is written on paper or electronically on the making available and use of the electronic funds transfer instrument , l'émetteur communique au titulaire de façon claire et écrite ou par l'intermédiaire d'un support électronique fiable: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84"/>
        </w:numPr>
        <w:spacing w:after="0" w:line="240" w:lineRule="auto"/>
        <w:ind w:left="49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les conditions légales et contractuelles régissant l'émission et l'utilisation de l'instrument de transfert électronique de fonds ainsi que les sanctions en cas d'utilisation abusive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85"/>
        </w:numPr>
        <w:spacing w:after="0" w:line="240" w:lineRule="auto"/>
        <w:ind w:left="49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une description exhaustive de l'instrument de transfert électronique de fonds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86"/>
        </w:numPr>
        <w:spacing w:after="0" w:line="240" w:lineRule="auto"/>
        <w:ind w:left="49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une description exhaustive des utilisations possibles de l'instrument de transfert électronique de fonds à l'intérieur du pays et à l'étranger ;</w:t>
      </w:r>
    </w:p>
    <w:p w:rsidR="00511881" w:rsidRPr="00511881" w:rsidRDefault="00511881" w:rsidP="00511881">
      <w:pPr>
        <w:numPr>
          <w:ilvl w:val="0"/>
          <w:numId w:val="87"/>
        </w:numPr>
        <w:spacing w:after="0" w:line="240" w:lineRule="auto"/>
        <w:ind w:left="49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 xml:space="preserve">le plafond appliqué aux opérations qu'il est permis d'effectuer par l'instrument de transfert électronique de fonds ;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88"/>
        </w:numPr>
        <w:spacing w:after="0" w:line="240" w:lineRule="auto"/>
        <w:ind w:left="49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le droit de choisir, en accord avec l'émetteur, le plafond correspondant ainsi que le droit de le modifier à tout moment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89"/>
        </w:numPr>
        <w:spacing w:after="0" w:line="240" w:lineRule="auto"/>
        <w:ind w:left="49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une description exhaustive des obligations et responsabilités respectives du titulaire et de l'émetteur ainsi que des risques et des mesures de prévenance inhérentes à l'utilisation de l'instrument de transfert électronique de fonds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90"/>
        </w:numPr>
        <w:spacing w:after="0" w:line="240" w:lineRule="auto"/>
        <w:ind w:left="49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les modalités, les procédures et le délai d'opposition en cas de vol, de perte, de falsification ou de renonciation à l'utilisation de l'instrument de transfert électronique de fonds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91"/>
        </w:numPr>
        <w:spacing w:after="0" w:line="240" w:lineRule="auto"/>
        <w:ind w:left="49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les frais relatifs à l'instrument de transfert électronique de fonds à charge du titulaire, notamment le taux d'intérêt appliqué ainsi que la manière de le calculer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92"/>
        </w:numPr>
        <w:spacing w:after="0" w:line="240" w:lineRule="auto"/>
        <w:ind w:left="49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les conditions et les modalités relatives à la contestation des opérations effectuées et l'adresse à laquelle les notifications et oppositions sont envoyées.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Les informations énumérées dans l'alinéa précédent sont également transcrites dans le contrat.</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lastRenderedPageBreak/>
        <w:br/>
      </w:r>
    </w:p>
    <w:p w:rsidR="00511881" w:rsidRPr="00511881" w:rsidRDefault="00511881" w:rsidP="00511881">
      <w:pPr>
        <w:numPr>
          <w:ilvl w:val="0"/>
          <w:numId w:val="93"/>
        </w:numPr>
        <w:spacing w:before="100" w:beforeAutospacing="1" w:after="100" w:afterAutospacing="1" w:line="240" w:lineRule="auto"/>
        <w:ind w:left="360"/>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Sous peine de la sanction prévue par l'article 104, l'Emetteur doit, préalablement à la délivrance d'une carte de paiement ou de tout autre instrument de paiement électronique, s'assurer que le demandeur n'a pas fait l'objet d'une décision de retrait de carte ou d'une mesure d'interdiction bancaire ou judiciaire d'émettre des instruments de paiement ou de se faire délivrer des cartes de paiement.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L'émetteur peut, par décision dûment motivée, refuser de délivrer une carte de paiement ou tout autre instrument de paiement électronique à un client ou demander la restitution d'une carte antérieurement délivrée par lui.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Dans ce dernier cas, sous peine d'encourir la sanction prévue par l'article 104, l'émetteur est tenu de déclarer le retrait de la carte à la Centrale des Incidents de paiement.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L'émetteur s'engage à honorer le règlement des achats effectués par son client avec la carte après s'être assuré de la validité de l'ordre de paiement et de l'absence d'opposition au paiement.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Avant la réalisation de l'opération de transfert électronique des fonds, l'émetteur doit s'assurer de l'identité du titulaire et vérifier l'instrument de transfert électronique des fonds.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Il sera tenu responsable en cas de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94"/>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l'exécution d'une opération sans autorisation du titulaire ;</w:t>
      </w:r>
    </w:p>
    <w:p w:rsidR="00511881" w:rsidRPr="00511881" w:rsidRDefault="00511881" w:rsidP="00511881">
      <w:pPr>
        <w:numPr>
          <w:ilvl w:val="0"/>
          <w:numId w:val="94"/>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l'exécution incorrecte des opérations effectuées à l'aide d'un instrument de transfert électronique de fonds ;</w:t>
      </w:r>
    </w:p>
    <w:p w:rsidR="00511881" w:rsidRPr="00511881" w:rsidRDefault="00511881" w:rsidP="00511881">
      <w:pPr>
        <w:numPr>
          <w:ilvl w:val="0"/>
          <w:numId w:val="94"/>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l'exécution d'une opération après opposition du titulaire ;</w:t>
      </w:r>
    </w:p>
    <w:p w:rsidR="00511881" w:rsidRPr="00511881" w:rsidRDefault="00511881" w:rsidP="00511881">
      <w:pPr>
        <w:numPr>
          <w:ilvl w:val="0"/>
          <w:numId w:val="94"/>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la</w:t>
      </w:r>
      <w:r w:rsidRPr="00511881">
        <w:rPr>
          <w:rFonts w:ascii="Times New Roman" w:eastAsia="Times New Roman" w:hAnsi="Times New Roman" w:cs="Times New Roman"/>
          <w:color w:val="FF0000"/>
          <w:sz w:val="26"/>
          <w:szCs w:val="26"/>
          <w:lang w:eastAsia="en-ZA"/>
        </w:rPr>
        <w:t xml:space="preserve"> </w:t>
      </w:r>
      <w:r w:rsidRPr="00511881">
        <w:rPr>
          <w:rFonts w:ascii="Times New Roman" w:eastAsia="Times New Roman" w:hAnsi="Times New Roman" w:cs="Times New Roman"/>
          <w:color w:val="000000"/>
          <w:sz w:val="26"/>
          <w:szCs w:val="26"/>
          <w:lang w:eastAsia="en-ZA"/>
        </w:rPr>
        <w:t>défaillance des équipements techniques, l'erreur dans leur utilisation ou le vice de l'instrument de transfert électronique des fonds.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95"/>
        </w:numPr>
        <w:spacing w:before="100" w:beforeAutospacing="1" w:after="100" w:afterAutospacing="1" w:line="240" w:lineRule="auto"/>
        <w:ind w:left="360"/>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En cas d'utilisation abusive d'un instrument de paiement électronique, l'établissement émetteur doit, dans les quatre jours ouvrables suivant la constatation de cette utilisation, annuler ledit instrument et déclarer cette décision d'annulation à la Centrale des Incidents de Paiement.</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96"/>
        </w:numPr>
        <w:spacing w:before="100" w:beforeAutospacing="1" w:after="100" w:afterAutospacing="1" w:line="240" w:lineRule="auto"/>
        <w:ind w:left="360"/>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 titulaire de l'instrument de paiement électronique autorise, sauf stipulation contractuelle contraire, un débit automatique sur son compte bancaire, en exécution de son ordre de paiement.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97"/>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En cas d'opération non autorisée avérée ou d'utilisation frauduleuse d'une carte de paiement ou de tout autre instrument de paiement électronique ayant fait l'objet d'une opposition préalable, l'émetteur de la carte ou de </w:t>
      </w:r>
      <w:r w:rsidRPr="00511881">
        <w:rPr>
          <w:rFonts w:ascii="Times New Roman" w:eastAsia="Times New Roman" w:hAnsi="Times New Roman" w:cs="Times New Roman"/>
          <w:color w:val="000000"/>
          <w:sz w:val="26"/>
          <w:szCs w:val="26"/>
          <w:lang w:eastAsia="en-ZA"/>
        </w:rPr>
        <w:lastRenderedPageBreak/>
        <w:t>tout autre instrument de paiement électronique rembourse à son titulaire la totalité du montant de l'opération et des frais bancaires qu'il a supportés.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L'émetteur n'est exempt de responsabilité que s'il prouve la force majeure, le cas fortuit ou la faute du titulaire.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L'émetteur doit, en cas de contestation d'une opération effectuée à l'aide d'un instrument de paiement électronique apporter la preuve que l'opération en question a été authentifiée, dûment enregistrée et comptabilisée, et qu'elle n'a pas été affectée par une déficience technique ou autre.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SECTION II: DES OBLIGATIONS DU FOURNISSEUR</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98"/>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 fournisseur de biens et services doit porter à la connaissance de la clientèle qu'il accepte le paiement par carte ou par tout autre instrument de paiement électronique</w:t>
      </w:r>
      <w:r w:rsidRPr="00511881">
        <w:rPr>
          <w:rFonts w:ascii="Times New Roman" w:eastAsia="Times New Roman" w:hAnsi="Times New Roman" w:cs="Times New Roman"/>
          <w:color w:val="FF0000"/>
          <w:sz w:val="26"/>
          <w:szCs w:val="26"/>
          <w:lang w:eastAsia="en-ZA"/>
        </w:rPr>
        <w:t xml:space="preserve"> </w:t>
      </w:r>
      <w:r w:rsidRPr="00511881">
        <w:rPr>
          <w:rFonts w:ascii="Times New Roman" w:eastAsia="Times New Roman" w:hAnsi="Times New Roman" w:cs="Times New Roman"/>
          <w:color w:val="000000"/>
          <w:sz w:val="26"/>
          <w:szCs w:val="26"/>
          <w:lang w:eastAsia="en-ZA"/>
        </w:rPr>
        <w:t>en affichant sa dénomination.</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Il doit vérifier, avant chaque paiement, que le règlement est régulier et que la carte ou tout autre instrument de paiement électronique n'a pas fait l'objet d'une opposition.</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 bénéficiaire du paiement engage sa responsabilité vis-à-vis de l'émetteur et est tenu de supporter la charge intégrale du règlement s'il n'a pas effectué les vérifications prévues à l'alinéa précédent.</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SECTION III : DES OBLIGATIONS DU TITULAIRE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99"/>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 titulaire veille au respect des règles suivantes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1"/>
          <w:numId w:val="100"/>
        </w:numPr>
        <w:spacing w:after="0" w:line="240" w:lineRule="auto"/>
        <w:ind w:left="645" w:right="-71"/>
        <w:jc w:val="both"/>
        <w:textAlignment w:val="baseline"/>
        <w:rPr>
          <w:rFonts w:ascii="Times New Roman" w:eastAsia="Times New Roman" w:hAnsi="Times New Roman" w:cs="Times New Roman"/>
          <w:color w:val="000000"/>
          <w:sz w:val="26"/>
          <w:szCs w:val="26"/>
          <w:lang w:eastAsia="en-ZA"/>
        </w:rPr>
      </w:pPr>
      <w:r w:rsidRPr="00511881">
        <w:rPr>
          <w:rFonts w:ascii="Times New Roman" w:eastAsia="Times New Roman" w:hAnsi="Times New Roman" w:cs="Times New Roman"/>
          <w:color w:val="000000"/>
          <w:sz w:val="26"/>
          <w:szCs w:val="26"/>
          <w:lang w:eastAsia="en-ZA"/>
        </w:rPr>
        <w:lastRenderedPageBreak/>
        <w:t>utiliser l'instrument de transfert électronique selon le but qui lui a été assigné conformément aux conditions légales et conventionnelles qui en régissent la délivrance et l'utilisation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1"/>
          <w:numId w:val="101"/>
        </w:numPr>
        <w:spacing w:after="0" w:line="240" w:lineRule="auto"/>
        <w:ind w:left="645" w:right="-71"/>
        <w:jc w:val="both"/>
        <w:textAlignment w:val="baseline"/>
        <w:rPr>
          <w:rFonts w:ascii="Times New Roman" w:eastAsia="Times New Roman" w:hAnsi="Times New Roman" w:cs="Times New Roman"/>
          <w:color w:val="000000"/>
          <w:sz w:val="26"/>
          <w:szCs w:val="26"/>
          <w:lang w:eastAsia="en-ZA"/>
        </w:rPr>
      </w:pPr>
      <w:r w:rsidRPr="00511881">
        <w:rPr>
          <w:rFonts w:ascii="Times New Roman" w:eastAsia="Times New Roman" w:hAnsi="Times New Roman" w:cs="Times New Roman"/>
          <w:color w:val="000000"/>
          <w:sz w:val="26"/>
          <w:szCs w:val="26"/>
          <w:lang w:eastAsia="en-ZA"/>
        </w:rPr>
        <w:t>prendre les précautions nécessaires pour garantir la préservation de l'instrument de transfert électronique des fonds et ses moyens garantissant son utilisation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1"/>
          <w:numId w:val="102"/>
        </w:numPr>
        <w:spacing w:after="0" w:line="240" w:lineRule="auto"/>
        <w:ind w:right="-71"/>
        <w:jc w:val="both"/>
        <w:textAlignment w:val="baseline"/>
        <w:rPr>
          <w:rFonts w:ascii="Times New Roman" w:eastAsia="Times New Roman" w:hAnsi="Times New Roman" w:cs="Times New Roman"/>
          <w:color w:val="000000"/>
          <w:sz w:val="26"/>
          <w:szCs w:val="26"/>
          <w:lang w:eastAsia="en-ZA"/>
        </w:rPr>
      </w:pPr>
      <w:r w:rsidRPr="00511881">
        <w:rPr>
          <w:rFonts w:ascii="Times New Roman" w:eastAsia="Times New Roman" w:hAnsi="Times New Roman" w:cs="Times New Roman"/>
          <w:color w:val="000000"/>
          <w:sz w:val="26"/>
          <w:szCs w:val="26"/>
          <w:lang w:eastAsia="en-ZA"/>
        </w:rPr>
        <w:t>s'abstenir d'inscrire l'identification personnelle sur l'instrument de transfert électronique de fonds ou sur les objets et documents qu'il garde ou transporte avec l'instrument.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03"/>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En cas de perte ou de vol de la carte de paiement ou de tout autre instrument de paiement électronique, le titulaire doit, sans délai, faire opposition auprès de son émetteur. Il est présumé donneur d'ordre de paiements effectués avant l'opposition.</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Seules sont autorisées les oppositions motivées par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 xml:space="preserve">1° la perte ou le vol de la carte de paiement ou de tout autre instrument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de paiement électronique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2°l'utilisation frauduleuse des données de la carte de paiement ou de tout</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autre instrument de paiement électronique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3° l'ouverture d'une procédure de redressement judiciaire ou de</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liquidation des biens à l'encontre du bénéficiaire du paiement.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04"/>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La responsabilité du titulaire d'un instrument de paiement électronique, n'est pas engagée si le paiement contesté a été effectué: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frauduleusement, à distance, sans utilisation physique ou sans identification électronique de son instrument de paiement électronique ;</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 en contrefaçon de son instrument de paiement électronique et si au moment de l'opération contestée, il était en possession physique de sa carte.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05"/>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Dans les cas prévus à l'article 52 de la présente loi, si le titulaire d'une carte de paiement ou d'un instrument de paiement électronique conteste par écrit avoir effectué un paiement ou un retrait, les sommes contestées lui sont remboursées sur son compte par l'émetteur de la carte ou restituées sans frais au plus tard dans le délai de trente jours calendaires à compter de la réception de la contestation.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La contestation prévue à l'alinéa précédent est formulée endéans soixante jours calendaires après la date de l'opération contestée.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06"/>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Le titulaire doit tenir l'émetteur informé des opérations inscrites en son compte sans son consentement ainsi que des erreurs et défaillances dans la tenue des comptes.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CHAPITRE VI : DE LA MONNAIE ELECTRONIQUE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07"/>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La Banque Centrale édicte: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les conditions et les modalités d'agrément de toute personne morale souhaitant être établissement de monnaie électronique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la réglementation prudentielle spécifique aux opérations d'émission et/ou de distribution de monnaie électronique.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08"/>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La monnaie électronique est émise pour un montant dont la valeur ne peut être supérieure à celle des fonds reçus en contrepartie.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Ces fonds sont logés dans un compte spécial ouvert auprès d'une banque dont les règles de fonctionnement sont fixées par la Banque Centrale.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Ils ne constituent pas des dépôts ou autres fonds remboursables au sens de la loi bancaire s'ils sont immédiatement échangés contre la monnaie électronique.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Ils ne peuvent pas faire l'objet de rémunération ou de tout autre avantage pendant la période durant laquelle le porteur détient la monnaie électronique.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Les fonds reçus en contrepartie de l'émission de la monnaie électronique ne peuvent, où qu'ils se trouvent, faire l'objet de séquestre, de saisie ou de toute autre voie d'exécution.</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09"/>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Les activités des Etablissements de monnaie électronique sont limitées à la fourniture des services liés à l'émission, à la mise à disposition ou à la gestion de monnaie électronique ainsi qu'au stockage des données sur support électronique pour le compte d'autres personnes morales.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La monnaie électronique est remboursable suivant les conditions fixées par la Banque Centrale.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 xml:space="preserve">TITRE IV : DE LA SURVEILLANCE DES SYSTEMES ET INSTRUMENTS </w:t>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 xml:space="preserve">                   DE PAIEMENT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10"/>
        </w:numPr>
        <w:spacing w:after="0" w:line="240" w:lineRule="auto"/>
        <w:jc w:val="both"/>
        <w:textAlignment w:val="baseline"/>
        <w:rPr>
          <w:rFonts w:ascii="Times New Roman" w:eastAsia="Times New Roman" w:hAnsi="Times New Roman" w:cs="Times New Roman"/>
          <w:b/>
          <w:bCs/>
          <w:i/>
          <w:iCs/>
          <w:color w:val="000000"/>
          <w:sz w:val="24"/>
          <w:szCs w:val="24"/>
          <w:lang w:eastAsia="en-ZA"/>
        </w:rPr>
      </w:pPr>
      <w:r w:rsidRPr="00511881">
        <w:rPr>
          <w:rFonts w:ascii="Times New Roman" w:eastAsia="Times New Roman" w:hAnsi="Times New Roman" w:cs="Times New Roman"/>
          <w:color w:val="000000"/>
          <w:sz w:val="26"/>
          <w:szCs w:val="26"/>
          <w:lang w:eastAsia="en-ZA"/>
        </w:rPr>
        <w:t xml:space="preserve">- </w:t>
      </w:r>
      <w:r w:rsidRPr="00511881">
        <w:rPr>
          <w:rFonts w:ascii="Times New Roman" w:eastAsia="Times New Roman" w:hAnsi="Times New Roman" w:cs="Times New Roman"/>
          <w:b/>
          <w:bCs/>
          <w:i/>
          <w:iCs/>
          <w:color w:val="000000"/>
          <w:sz w:val="26"/>
          <w:szCs w:val="26"/>
          <w:lang w:eastAsia="en-ZA"/>
        </w:rPr>
        <w:t>Principe d'agrément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Aucune personne ou entité ne peut mettre en place ou opérer un système, ou émettre des instruments de paiement sans avoir obtenu un agrément à cet effet octroyé par la Banque Centrale.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Les émetteurs d'instruments de paiement supervisés par la Banque Centrale en vertu de la loi bancaire ou d'un autre texte et autorisés à émettre ou gérer des instruments de paiement conformément à ces textes sont </w:t>
      </w:r>
      <w:r w:rsidRPr="00511881">
        <w:rPr>
          <w:rFonts w:ascii="Times New Roman" w:eastAsia="Times New Roman" w:hAnsi="Times New Roman" w:cs="Times New Roman"/>
          <w:color w:val="000000"/>
          <w:sz w:val="26"/>
          <w:szCs w:val="26"/>
          <w:lang w:eastAsia="en-ZA"/>
        </w:rPr>
        <w:lastRenderedPageBreak/>
        <w:t xml:space="preserve">exemptés de l'obligation de demander un agrément à la Banque Centrale aux fins de la surveillance des émetteurs des instruments de paiement par cette dernière.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Cependant, ils ont l'obligation de fournir à la Banque Centrale une description détaillée de l'instrument de paiement qu'ils ont l'intention d'émettre, au moins un mois avant son émission effective. La Banque Centrale rend une décision endéans ce délai.</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111"/>
        </w:numPr>
        <w:spacing w:after="0" w:line="240" w:lineRule="auto"/>
        <w:jc w:val="both"/>
        <w:textAlignment w:val="baseline"/>
        <w:rPr>
          <w:rFonts w:ascii="Times New Roman" w:eastAsia="Times New Roman" w:hAnsi="Times New Roman" w:cs="Times New Roman"/>
          <w:b/>
          <w:bCs/>
          <w:i/>
          <w:iCs/>
          <w:color w:val="000000"/>
          <w:sz w:val="24"/>
          <w:szCs w:val="24"/>
          <w:lang w:eastAsia="en-ZA"/>
        </w:rPr>
      </w:pPr>
      <w:r w:rsidRPr="00511881">
        <w:rPr>
          <w:rFonts w:ascii="Times New Roman" w:eastAsia="Times New Roman" w:hAnsi="Times New Roman" w:cs="Times New Roman"/>
          <w:color w:val="000000"/>
          <w:sz w:val="26"/>
          <w:szCs w:val="26"/>
          <w:lang w:eastAsia="en-ZA"/>
        </w:rPr>
        <w:t>-</w:t>
      </w:r>
      <w:r w:rsidRPr="00511881">
        <w:rPr>
          <w:rFonts w:ascii="Times New Roman" w:eastAsia="Times New Roman" w:hAnsi="Times New Roman" w:cs="Times New Roman"/>
          <w:b/>
          <w:bCs/>
          <w:i/>
          <w:iCs/>
          <w:color w:val="000000"/>
          <w:sz w:val="26"/>
          <w:szCs w:val="26"/>
          <w:lang w:eastAsia="en-ZA"/>
        </w:rPr>
        <w:t>Surveillance et réglementation</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Les systèmes et les instruments de paiement sont soumis à la surveillance et au pouvoir réglementaire de la Banque Centrale. A ce titre, elle prend toute mesure nécessaire pour assurer leur normalisation et leur promotion, leur sécurité, efficience et solidité.</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La Banque Centrale détermine, par voie règlementaire, les conditions d'agrément, la procédure, les cas de retrait et de suspension d'agrément relatifs aux personnes morales désirant instaurer et opérer un système de paiement ou émettre un instrument de paiement.</w:t>
      </w:r>
      <w:r w:rsidRPr="00511881">
        <w:rPr>
          <w:rFonts w:ascii="Questrial" w:eastAsia="Times New Roman" w:hAnsi="Questrial" w:cs="Times New Roman"/>
          <w:color w:val="000000"/>
          <w:sz w:val="36"/>
          <w:szCs w:val="36"/>
          <w:lang w:eastAsia="en-ZA"/>
        </w:rPr>
        <w:t xml:space="preserv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Elle dispose d'un délai de soixante jours, à compter de la date de la réception de demande d'agrément, pour statuer et se prononcer.</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L'opérateur du système indique à la Banque Centrale les participants au système ainsi que tout changement de ces derniers</w:t>
      </w:r>
      <w:r w:rsidRPr="00511881">
        <w:rPr>
          <w:rFonts w:ascii="Times New Roman" w:eastAsia="Times New Roman" w:hAnsi="Times New Roman" w:cs="Times New Roman"/>
          <w:i/>
          <w:iCs/>
          <w:color w:val="000000"/>
          <w:sz w:val="26"/>
          <w:szCs w:val="26"/>
          <w:lang w:eastAsia="en-ZA"/>
        </w:rPr>
        <w: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12"/>
        </w:numPr>
        <w:spacing w:after="0" w:line="240" w:lineRule="auto"/>
        <w:jc w:val="both"/>
        <w:textAlignment w:val="baseline"/>
        <w:rPr>
          <w:rFonts w:ascii="Times New Roman" w:eastAsia="Times New Roman" w:hAnsi="Times New Roman" w:cs="Times New Roman"/>
          <w:b/>
          <w:bCs/>
          <w:i/>
          <w:iCs/>
          <w:color w:val="000000"/>
          <w:sz w:val="24"/>
          <w:szCs w:val="24"/>
          <w:lang w:eastAsia="en-ZA"/>
        </w:rPr>
      </w:pPr>
      <w:r w:rsidRPr="00511881">
        <w:rPr>
          <w:rFonts w:ascii="Times New Roman" w:eastAsia="Times New Roman" w:hAnsi="Times New Roman" w:cs="Times New Roman"/>
          <w:color w:val="000000"/>
          <w:sz w:val="26"/>
          <w:szCs w:val="26"/>
          <w:lang w:eastAsia="en-ZA"/>
        </w:rPr>
        <w:t>-</w:t>
      </w:r>
      <w:r w:rsidRPr="00511881">
        <w:rPr>
          <w:rFonts w:ascii="Times New Roman" w:eastAsia="Times New Roman" w:hAnsi="Times New Roman" w:cs="Times New Roman"/>
          <w:b/>
          <w:bCs/>
          <w:i/>
          <w:iCs/>
          <w:color w:val="000000"/>
          <w:sz w:val="26"/>
          <w:szCs w:val="26"/>
          <w:lang w:eastAsia="en-ZA"/>
        </w:rPr>
        <w:t>Systèmes établis ou opérés par la Banque Centrale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Les dispositions du présent Titre ne s'appliquent pas aux systèmes établis ou opérés par la Banque Centrale. Cependant, ces systèmes doivent se conformer aux mêmes règles et standards de surveillance que ceux imposés à tout autre système agréé similaire.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13"/>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La Banque Centrale peut à tout moment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14"/>
        </w:numPr>
        <w:spacing w:after="0" w:line="240" w:lineRule="auto"/>
        <w:ind w:left="420"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exiger des systèmes, des opérateurs, des participants ou des émetteurs d'instruments de paiement toute déclaration, document, information, clarification ou tout autre élément qu'elle juge utile ;</w:t>
      </w:r>
    </w:p>
    <w:p w:rsidR="00511881" w:rsidRPr="00511881" w:rsidRDefault="00511881" w:rsidP="00511881">
      <w:pPr>
        <w:numPr>
          <w:ilvl w:val="0"/>
          <w:numId w:val="114"/>
        </w:numPr>
        <w:spacing w:after="0" w:line="240" w:lineRule="auto"/>
        <w:ind w:left="420"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commettre ses agents ou toute autre personne pour effectuer des contrôles sur place auprès des opérateurs, des participants ou des émetteurs d'instruments de paiement.  </w:t>
      </w:r>
    </w:p>
    <w:p w:rsidR="00511881" w:rsidRPr="00511881" w:rsidRDefault="00511881" w:rsidP="00511881">
      <w:pPr>
        <w:spacing w:after="0" w:line="240" w:lineRule="auto"/>
        <w:ind w:left="426"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Ces personnes peuvent consulter ou se faire délivrer une copie de tout document approprié ou toute source d'information qu'elles considèrent nécessaire pour l'exercice de leur fonction. </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115"/>
        </w:numPr>
        <w:spacing w:after="0" w:line="240" w:lineRule="auto"/>
        <w:ind w:left="420"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donner des instructions aux auditeurs externes du système pour effectuer, en son nom, des audits du système, des opérateurs des participants ou des émetteurs d'instruments de paiement, mais à charge de l'entité auditée. Cette dernière est tenue de coopérer et ne peut dans ce cadre opposer le secret professionnel.</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TITRE V : DE LA PREUVE ET DE LA SIGNATURE ELECTRONIQUE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16"/>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Sans préjudice des autres modes de preuve, les ordres de paiement exécutés dans un système ou ceux gardés aux archives sous forme électronique, d'écrits ou d'image optique ou par tout autre procédé durable permettant de garder leurs traces en copie constituent une preuve légalement admissible en toutes matières.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La preuve littérale ou preuve par écrit résulte d'une suite de lettres, de caractères, de chiffres ou de tous autres signes ou symboles dotés d'une signification intelligible, quels que soient le support et les modalités de transmission.</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L'écrit sous forme électronique est admis en preuve au même titre que l'écrit sur support papier et en a la même force probante, sous réserve que puisse être dûment identifiée la personne dont il émane et qu'il soit établi et conservé dans des conditions de nature à en garantir l'intégrité.</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La conservation des documents sous forme électronique se fait pendant une période de dix ans et dans les conditions suivantes :</w:t>
      </w:r>
    </w:p>
    <w:p w:rsidR="00511881" w:rsidRPr="00511881" w:rsidRDefault="00511881" w:rsidP="00511881">
      <w:pPr>
        <w:spacing w:after="0" w:line="240" w:lineRule="auto"/>
        <w:ind w:left="142" w:right="-71" w:hanging="142"/>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l'information que contient le message de données est accessible pour être consultée ultérieurement ;</w:t>
      </w:r>
    </w:p>
    <w:p w:rsidR="00511881" w:rsidRPr="00511881" w:rsidRDefault="00511881" w:rsidP="00511881">
      <w:pPr>
        <w:spacing w:after="0" w:line="240" w:lineRule="auto"/>
        <w:ind w:left="142" w:right="-71" w:hanging="142"/>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 le message de données est conservé en la forme sous laquelle il a été créé, envoyé ou reçu, ou sous une forme dont on peut démontrer qu'elle n'est susceptible ni de modification ni d'altération dans son contenu et que le document transmis et celui conservé sont strictement identiques ;</w:t>
      </w:r>
    </w:p>
    <w:p w:rsidR="00511881" w:rsidRPr="00511881" w:rsidRDefault="00511881" w:rsidP="00511881">
      <w:pPr>
        <w:spacing w:after="0" w:line="240" w:lineRule="auto"/>
        <w:ind w:left="142" w:right="-71" w:hanging="142"/>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 les informations qui permettent de déterminer l'origine et la destination du message de données ainsi que les indications de date et d'heure de l'envoi ou de la réception, sont conservées.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17"/>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Lorsque la loi n'a pas fixé d'autres principes, et à défaut de convention valable entre les parties, le juge règle les conflits de preuve littérale en déterminant par tous moyens le titre le plus vraisemblable, quel qu'en soit le support.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18"/>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La signature électronique consiste en l'usage d'un procédé fiable d'identification garantissant son lien avec l'acte auquel elle s'attache.</w:t>
      </w:r>
      <w:r w:rsidRPr="00511881">
        <w:rPr>
          <w:rFonts w:ascii="Trebuchet MS" w:eastAsia="Times New Roman" w:hAnsi="Trebuchet MS" w:cs="Times New Roman"/>
          <w:color w:val="000000"/>
          <w:sz w:val="26"/>
          <w:szCs w:val="26"/>
          <w:lang w:eastAsia="en-ZA"/>
        </w:rPr>
        <w:t xml:space="preserv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La fiabilité du procédé est présumée établie, jusqu'à preuve contraire, lorsqu'elle résulte d'un dispositif sécurisé de création de signature électronique et de l'utilisation d'un certificat qualifié attribué au demandeur par un prestataire de service de certification électronique.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19"/>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La signature électronique sécurisée liée à un certificat électronique qualifié est admise en preuve au même titre que la signature manuscrite et a la même force probante que celle-ci.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20"/>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Les institutions désirant mettre en place ou opérer un système de certification électronique dans le cadre des opérations de paiement, doivent au préalable obtenir l'agrément de la Banque Centrale.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Cette dernière détermine, par voie d'instruction, les conditions d'octroi d'agrément, de sa suspension et de son retrait.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1560" w:hanging="1560"/>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TITRE VI : DE LA PREVENTION ET DE LA CENTRALISATION DES INCIDENTS DE PAIEMENT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1560" w:hanging="1560"/>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CHAPITRE I : DE LA CENTRALE DES INCIDENTS DE PAIEMENT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21"/>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La Banque Centrale organise et gère la Centrale des Incidents de Paiement ayant pour mission la gestion des fichiers relatifs à la centralisation des informations sur les clients, les comptes, les incidents de paiement et les instruments de paiement irréguliers.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Elle peut déléguer la gestion de cette Centrale dans les conditions qu'elle définit.</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lastRenderedPageBreak/>
        <w:br/>
      </w: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122"/>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L'accès aux informations contenues dans les fichiers de la Centrale des Incidents de Paiement est réservé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23"/>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aux Etablissements assujettis ;</w:t>
      </w:r>
    </w:p>
    <w:p w:rsidR="00511881" w:rsidRPr="00511881" w:rsidRDefault="00511881" w:rsidP="00511881">
      <w:pPr>
        <w:numPr>
          <w:ilvl w:val="0"/>
          <w:numId w:val="123"/>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aux Officiers du Ministère Public dans le cadre d'une procédure de réquisition judiciaire ;</w:t>
      </w:r>
    </w:p>
    <w:p w:rsidR="00511881" w:rsidRPr="00511881" w:rsidRDefault="00511881" w:rsidP="00511881">
      <w:pPr>
        <w:numPr>
          <w:ilvl w:val="0"/>
          <w:numId w:val="123"/>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à l'Administration fiscale ;</w:t>
      </w:r>
    </w:p>
    <w:p w:rsidR="00511881" w:rsidRPr="00511881" w:rsidRDefault="00511881" w:rsidP="00511881">
      <w:pPr>
        <w:numPr>
          <w:ilvl w:val="0"/>
          <w:numId w:val="123"/>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à la Cellule Nationale des Renseignements Financiers.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Toutefois, toute personne intéressée peut avoir accès aux informations contenues dans les fichiers pour lui permettre de vérifier la régularité de l'instrument de paiement qui lui est présenté en règlement d'un bien ou d'un service.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Les conditions et modalités d'accès aux informations détenues par la Centrale des incidents de paiement sont fixées par voie d'instruction de la Banque Centrale.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Tout titulaire de compte, ayant fait l'objet de déclarations, peut demander la modification des informations le concernant.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Toute contestation est à soumettre au Tribunal de Commerce qui peut ordonner la main levée de l'inscription sur le fichier.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24"/>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La durée de conservation des fichiers d'informations est de dix ans. Au-delà de ce délai, ils sont renvoyés aux archives.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left="1985" w:right="-71" w:hanging="1985"/>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CHAPITRE II : DES OBLIGATIONS DES EMETTEURS D'INSTRUMENTS DE PAIEMENT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25"/>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L'Emetteur des instruments de paiement est tenu de consulter la Centrale des incidents de Paiement :</w:t>
      </w:r>
    </w:p>
    <w:p w:rsidR="00511881" w:rsidRPr="00511881" w:rsidRDefault="00511881" w:rsidP="00511881">
      <w:pPr>
        <w:numPr>
          <w:ilvl w:val="0"/>
          <w:numId w:val="126"/>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lors de l'ouverture d'un compte à un nouveau client ;</w:t>
      </w:r>
    </w:p>
    <w:p w:rsidR="00511881" w:rsidRPr="00511881" w:rsidRDefault="00511881" w:rsidP="00511881">
      <w:pPr>
        <w:numPr>
          <w:ilvl w:val="0"/>
          <w:numId w:val="126"/>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 xml:space="preserve">avant la délivrance d'un instrument de paiement à un client.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Il doit conserver la trace de la réponse qui lui est faite à ce sujet par la Centrale des incidents de paiement.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Il doit déclarer immédiatement à la Banque Centrale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27"/>
        </w:numPr>
        <w:spacing w:after="0" w:line="240" w:lineRule="auto"/>
        <w:ind w:left="79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les incidents de paiement concernant notamment les clients, les comptes bancaires et les instruments de paiement ;</w:t>
      </w:r>
    </w:p>
    <w:p w:rsidR="00511881" w:rsidRPr="00511881" w:rsidRDefault="00511881" w:rsidP="00511881">
      <w:pPr>
        <w:numPr>
          <w:ilvl w:val="0"/>
          <w:numId w:val="127"/>
        </w:numPr>
        <w:spacing w:after="0" w:line="240" w:lineRule="auto"/>
        <w:ind w:left="79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les saisies arrêt d'un compte bancaire ;</w:t>
      </w:r>
    </w:p>
    <w:p w:rsidR="00511881" w:rsidRPr="00511881" w:rsidRDefault="00511881" w:rsidP="00511881">
      <w:pPr>
        <w:numPr>
          <w:ilvl w:val="0"/>
          <w:numId w:val="127"/>
        </w:numPr>
        <w:spacing w:after="0" w:line="240" w:lineRule="auto"/>
        <w:ind w:left="79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les avis à tiers détenteur.</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CHAPITRE III : DES OBLIGATIONS DU TIRE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28"/>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 tiré doit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1°enregistrer dans ses livres l'incident de paiement au plus tard le deuxième jour ouvré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suivant le refus de paiement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2°déclarer à la Banque Centrale tout incident de paiement survenu sur les clients, les</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 comptes et les instruments de paiement ;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3°informer la Banque Centrale et la Justice de la contrefaçon, de la falsification ou de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la fraude portant sur un instrument de paiement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4°informer le titulaire du compte de l'interdiction bancaire et l'enjoindre de restituer à</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tous les banquiers dont il est client les formules d'instruments de paiement en sa</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possession et en celle de ses mandataires et des co-titulaires du compte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5°informer les mandataires et co-titulaires du compte l'interdiction bancaire prononcée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contre le titulaire du compte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6°délivrer un certificat de non-paiement au bénéficiaire ayant subi l'impayé en vue de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 lui permettre de procéder aux recours judiciaires de recouvrement de sa créance.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29"/>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Lorsque l'instrument de paiement impayé a été émis par un mandataire, l'interdiction bancaire mise en œuvre à l'égard du titulaire du compte s'applique également au mandataire pour ce qui concerne le compte ayant enregistré l'incident de paiement.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Elle ne s'applique pas au mandataire pour ce qui concerne les comptes dont celui-ci pourrait être personnellement titulaire dans tout Etablissement assujetti à la présente.</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130"/>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Lorsque l'incident de paiement est le fait de l'un des co-titulaires d'un compte collectif avec ou sans solidarité, les dispositions relatives à l'interdiction bancaire s'appliquent sur l'ensemble des comptes des co-titulaires.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Elles s'appliquent également à chacun des autres titulaires, mais uniquement pour ce qui concerne le compte ayant enregistré ledit incident.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 xml:space="preserve">CHAPITRE IV : DE L'AVERTISSSEMENT, DE LA REGULARISATION </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                          ET DE L'INTERDICTION BANCAIRE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Section I</w:t>
      </w:r>
      <w:r w:rsidRPr="00511881">
        <w:rPr>
          <w:rFonts w:ascii="Times New Roman" w:eastAsia="Times New Roman" w:hAnsi="Times New Roman" w:cs="Times New Roman"/>
          <w:b/>
          <w:bCs/>
          <w:i/>
          <w:iCs/>
          <w:color w:val="000000"/>
          <w:sz w:val="16"/>
          <w:szCs w:val="16"/>
          <w:vertAlign w:val="superscript"/>
          <w:lang w:eastAsia="en-ZA"/>
        </w:rPr>
        <w:t>ère</w:t>
      </w:r>
      <w:r w:rsidRPr="00511881">
        <w:rPr>
          <w:rFonts w:ascii="Times New Roman" w:eastAsia="Times New Roman" w:hAnsi="Times New Roman" w:cs="Times New Roman"/>
          <w:b/>
          <w:bCs/>
          <w:i/>
          <w:iCs/>
          <w:color w:val="000000"/>
          <w:sz w:val="26"/>
          <w:szCs w:val="26"/>
          <w:lang w:eastAsia="en-ZA"/>
        </w:rPr>
        <w:t>: DE L'AVERTISSEMENT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31"/>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Le tiré qui refuse le paiement d'un chèque, d'un effet de commerce ou de tout autre instrument de paiement, pour cause de défaut ou d'insuffisance de provision, est tenu d'adresser au titulaire du compte, aux frais de ce dernier, une lettre d'avertissement, dont copie est adressée à la Banque Centrale pour enregistrement dans les </w:t>
      </w:r>
      <w:r w:rsidRPr="00511881">
        <w:rPr>
          <w:rFonts w:ascii="Times New Roman" w:eastAsia="Times New Roman" w:hAnsi="Times New Roman" w:cs="Times New Roman"/>
          <w:color w:val="000000"/>
          <w:sz w:val="26"/>
          <w:szCs w:val="26"/>
          <w:lang w:eastAsia="en-ZA"/>
        </w:rPr>
        <w:lastRenderedPageBreak/>
        <w:t>fichiers des incidents de paiement, précisant le motif du refus de paiement et les sanctions administratives éventuelles à infliger en cas de défaut de régularisation dans le délai fixé par l'instruction de la Banque Centrale.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32"/>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 bénéfice de régularisation n'est accordé au client que si aucun de ses comptes n'a enregistré d'incident de paiement dans les trois mois précédant l'enregistrement visé à l'article 71 de la présente loi.</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SECTION II : DE LA REGULARISATION</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33"/>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Sous peine d'une pénalité libératoire fixée par la Banque Centrale, le titulaire du compte régularise sa situation s'il règle le montant impayé ou constitue au compte une provision suffisante dans le délai fixé dans l'instruction de la Banque Centrale.</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134"/>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 montant de la pénalité libératoire visé à l'article 76 de la présente loi est proportionnel à la durée de la mise en interdiction bancaire et aux incidents de paiement précédents.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Il est porté au double lorsque deux régularisations ayant permis de recouvrer la faculté d'émettre des instuments de paiement ont été enregistrées sur le même compte au cours des douze mois qui précédent l'incident de paiement.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Ce montant est augmenté de la moitié de la pénalité précédente à chaque nouvelle régularisation et ce, à partir de la quatrième, qui interviendrait dans les douze mois de la première.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Il est acquis au Trésor Public pour la moitié de son montant. La somme restante est répartie en parts égales entre la Banque Centrale et le Système de paiement.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SECTION III : DE L'INTERDICTION BANCAIRE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35"/>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En l'absence de régularisation dans le délai fixé par l'Instruction de la Banque Centrale, cette dernière signifie au titulaire du compte, via l'Etablissement concerné par l'incident de paiement, qu'il lui est interdit, pendant une période de deux ans, d'émettre des instruments de paiement autres que ceux qui permettent exclusivement le retrait de fonds par le tireur auprès du tiré, ou ceux qui sont certifiés.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La Banque Centrale en informe le système bancaire.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36"/>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L'interdit bancaire dispose d'un délai de dix jours francs à compter de la notification de l'interdiction bancaire et de la pénalité libératoire pour introduire devant le Tribunal de Commerce un recours en annulation contre la décision attaquée.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Ce recours n'est pas suspensif de l'exécution de la décision attaquée.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37"/>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Sans préjudice des dispositions de la présente loi, la Banque Centrale fixe les modalités d'application du traitement des incidents de paiement.</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CHAPITRE V : DE L'INTERDICTION JUDICIAIRE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38"/>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L'interdiction judiciaire d'émettre des effets de commerce et chèques, autres que ceux visés à l'article 78 ou de se faire délivrer une carte de paiement ou tout autre instrument de paiement peut être prononcée, à titre accessoire, par le Juge pénal ou celui du commerce saisi d'une infraction quelconque en matière de chèques, d'effets de commerce, de cartes de paiement, de prélèvement ou de tout autre instrument de paiement.</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w:t>
      </w:r>
      <w:r w:rsidRPr="00511881">
        <w:rPr>
          <w:rFonts w:ascii="Times New Roman" w:eastAsia="Times New Roman" w:hAnsi="Times New Roman" w:cs="Times New Roman"/>
          <w:color w:val="000000"/>
          <w:sz w:val="26"/>
          <w:szCs w:val="26"/>
          <w:lang w:eastAsia="en-ZA"/>
        </w:rPr>
        <w:tab/>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Les Cours et Tribunaux peuvent prononcer une telle sanction notamment à l'égard de l'auteur de l'émission d'un instrument de paiement sans provision ou avec provision insuffisante, de la contrefaçon, de la falsification d'un instrument de paiement, de la fraude sur un instrument de paiement ou à l'égard de celui qui, en connaissance de cause, aura accepté de recevoir en paiement, fait usage ou tenté de faire usage d'un instrument de paiement contrefait ou falsifié, ou aura émis un ordre de paiement sur un compte clôturé.</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39"/>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L'interdiction judicaire peut frapper tout interdit bancaire qui émet un instrument de paiement au mépris d'une interdiction bancaire.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40"/>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L'interdiction judiciaire est encourue par l'auteur, le co-auteur ou le complice d'une infraction en matière de chèque ou de tout autre instrument de paiement.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41"/>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L'interdiction judiciaire d'émettre et/ou de se faire délivrer un instrument de paiement ne peut être prononcée pour une durée inférieure à deux ans et supérieure à cinq ans.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CHAPITRE VI : DES OBLIGATIONS DES JURIDICTIONS ET DES PARQUETS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42"/>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Les Juridictions et Parquets informent la Banque Centrale dans les plus brefs délais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43"/>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des interdictions judiciaires d'émettre ou de se faire délivrer un instrument de paiement, prononcées en application de l'article 81de la présente loi ;</w:t>
      </w:r>
    </w:p>
    <w:p w:rsidR="00511881" w:rsidRPr="00511881" w:rsidRDefault="00511881" w:rsidP="00511881">
      <w:pPr>
        <w:numPr>
          <w:ilvl w:val="0"/>
          <w:numId w:val="143"/>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des mainlevées d'interdictions judiciaires d'émettre ou de se faire délivrer un instrument de paiement ;</w:t>
      </w:r>
    </w:p>
    <w:p w:rsidR="00511881" w:rsidRPr="00511881" w:rsidRDefault="00511881" w:rsidP="00511881">
      <w:pPr>
        <w:numPr>
          <w:ilvl w:val="0"/>
          <w:numId w:val="143"/>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des levées ou suspensions d'interdictions bancaires d'émettre ou de se faire délivrer un instrument de paiement.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44"/>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Les juridictions compétentes sont informées d'office par la Banque Centrale de toute violation d'interdiction bancaire ou judiciaire qu'elle constate ou qui lui est signalée.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 xml:space="preserve">TITRE VII : DES MESURES COERCITIVES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CHAPITRE I : DES SANCTIONS DISCIPLINAIRES ET ADMINISTRATIVES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45"/>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Si l'Opérateur, le Participant ou l'Emetteur d'un instrument de paiement enfreint une disposition légale ou réglementaire relative au système de paiement, n'obtempère pas à une injonction ou ne tient pas compte d'un avertissement de la Banque Centrale, celle-ci peut prononcer à son encontre l'une des sanctions suivantes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le rappel à l'ordre ;</w:t>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le blâme ;</w:t>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la suspension ;</w:t>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l'exclusion.</w:t>
      </w:r>
    </w:p>
    <w:p w:rsidR="00511881" w:rsidRPr="00511881" w:rsidRDefault="00511881" w:rsidP="00511881">
      <w:pPr>
        <w:numPr>
          <w:ilvl w:val="0"/>
          <w:numId w:val="146"/>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Sans préjudice des dispositions de l'article 87 de la présente loi, la Banque Centrale peut, selon le cas, exiger à l'Opérateur, le Participant ou l'Emetteur d'un instrument de paiement de:</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se conformer aux dispositions de la présente loi ou des Règlements pris en exécution</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de celle-ci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procéder aux adaptations qui s'imposent à son organisation ou son fonctionnement.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A défaut de s'exécuter, le défaillant s'expose à une amende administrative dont le taux est fixé par la Banque Centrale.</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147"/>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 montant de l'amende administrative visée à l'article 88 de la présente loi est reparti en parts égales entre le Trésor Public et la Banque Centrale.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CHAPITRE II : DES SANCTIONS PENALES</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lastRenderedPageBreak/>
        <w:t>SECTION I : DES INFRACTIONS ET DES PEINES SPECIFIQUES AUX</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                    ATTEINTES AUX SYSTEMES DE PAIEMENT OU DE</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                    TRAITEMENT AUTOMATISE DE DONNEES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48"/>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Est puni d'un à deux ans d'emprisonnement et d'une amende de 10.000.000 à 20.000.000 de Francs Congolais ou d'une de ces peines seulement, toute personne qui a accédé ou s'est maintenu frauduleusement, dans tout ou partie d'un système de paiement ou de traitement automatisé de données.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Cette peine est portée de deux à quatre ans d'emprisonnement et d'une amende de 20.000.000 à 200.000.000 de Francs Congolais ou d'une de ces peines seulement, lorsqu'il en est résulté soit la suppression ou la modification de données contenues dans le système, soit une altération du fonctionnement de ce système.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49"/>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Est puni de trois à cinq ans d'emprisonnement et de 30.000.000 à 300.000.000 de Francs Congolais d'amende, ou d'une de ces peines seulement, toute personne qui a:</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50"/>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intentionnellement entravé ou faussé le fonctionnement d'un système de paiement ou de traitement automatisé de données ;</w:t>
      </w:r>
    </w:p>
    <w:p w:rsidR="00511881" w:rsidRPr="00511881" w:rsidRDefault="00511881" w:rsidP="00511881">
      <w:pPr>
        <w:numPr>
          <w:ilvl w:val="0"/>
          <w:numId w:val="151"/>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frauduleusement introduit, modifié ou supprimé des données dans un système de paiement ou de traitement automatisé.</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52"/>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Sans préjudice des peines prévues à l'article 90 et/ou 91 de la présente loi, la personne visée par l'un ou les deux articles est tenue au paiement d'une amende dont le montant maximum est égal à dix fois le montant de la somme gagnée.</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153"/>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Les co-auteurs et complices des infractions prévues aux articles 90 et 91 de la présente loi sont punis des mêmes peines que leurs auteurs.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54"/>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Est puni de cinq à dix ans d'emprisonnement et d'une amende de 50.000.000 à 500.000.000 de Francs Congolais ou d'une de ces peines seulement, toute personne qui a participé à un groupement formé ou à une entente établie en vue de la préparation caractérisée par un ou plusieurs faits matériels, d'une ou de plusieurs infractions prévues par les articles 90 et 91.</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SECTION II : DES INFRACTIONS ET DES PEINES SPECIFIQUES AUX</w:t>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                       CARTES DE PAIEMENT, AUX INSTRUMENTS ET AUX</w:t>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                      PROCEDES ELECTRONIQUES DE PAIEMENT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55"/>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Est puni de cinq ans à dix ans d'emprisonnement et d'une amende de 50.000.000 à 500.000.000 de Francs Congolais ou d'une de ces peines seulement, la personne qui, en connaissance de cause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utilise sans autorisation des données d'identification pour le lancement ou le traitement d'une opération de paiement électronique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utilise des données d'identification fictives pour le lancement ou le traitement d'une opération de paiement électronique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manipule des données ou des informations portant sur des comptes ou d'autres données d'identification, en vue du lancement ou du traitement d'une opération de paiement électronique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transmet sans y être autorisée des données d'identification en vue du lancement ou du traitement d'une opération de paiement électronique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 détient sans y être autorisée et en connaissance de cause un élément ou une partie d'une carte de paiement ou tout autre instrument de paiement électronique.</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fabrique, manie, détient ou utilise sans autorisation un équipement spécifique, en vue :</w:t>
      </w:r>
    </w:p>
    <w:p w:rsidR="00511881" w:rsidRPr="00511881" w:rsidRDefault="00511881" w:rsidP="00511881">
      <w:pPr>
        <w:numPr>
          <w:ilvl w:val="0"/>
          <w:numId w:val="156"/>
        </w:numPr>
        <w:spacing w:after="0" w:line="240" w:lineRule="auto"/>
        <w:ind w:right="-71"/>
        <w:jc w:val="both"/>
        <w:textAlignment w:val="baseline"/>
        <w:rPr>
          <w:rFonts w:ascii="Times New Roman" w:eastAsia="Times New Roman" w:hAnsi="Times New Roman" w:cs="Times New Roman"/>
          <w:color w:val="000000"/>
          <w:sz w:val="26"/>
          <w:szCs w:val="26"/>
          <w:lang w:eastAsia="en-ZA"/>
        </w:rPr>
      </w:pPr>
      <w:r w:rsidRPr="00511881">
        <w:rPr>
          <w:rFonts w:ascii="Times New Roman" w:eastAsia="Times New Roman" w:hAnsi="Times New Roman" w:cs="Times New Roman"/>
          <w:color w:val="000000"/>
          <w:sz w:val="26"/>
          <w:szCs w:val="26"/>
          <w:lang w:eastAsia="en-ZA"/>
        </w:rPr>
        <w:t>de la fabrication ou de l'altération d'une carte de paiement, d'un porte-monnaie électronique ou partie de ceux-ci ;</w:t>
      </w:r>
    </w:p>
    <w:p w:rsidR="00511881" w:rsidRPr="00511881" w:rsidRDefault="00511881" w:rsidP="00511881">
      <w:pPr>
        <w:numPr>
          <w:ilvl w:val="0"/>
          <w:numId w:val="156"/>
        </w:numPr>
        <w:spacing w:after="0" w:line="240" w:lineRule="auto"/>
        <w:ind w:right="-71"/>
        <w:jc w:val="both"/>
        <w:textAlignment w:val="baseline"/>
        <w:rPr>
          <w:rFonts w:ascii="Times New Roman" w:eastAsia="Times New Roman" w:hAnsi="Times New Roman" w:cs="Times New Roman"/>
          <w:color w:val="000000"/>
          <w:sz w:val="26"/>
          <w:szCs w:val="26"/>
          <w:lang w:eastAsia="en-ZA"/>
        </w:rPr>
      </w:pPr>
      <w:r w:rsidRPr="00511881">
        <w:rPr>
          <w:rFonts w:ascii="Times New Roman" w:eastAsia="Times New Roman" w:hAnsi="Times New Roman" w:cs="Times New Roman"/>
          <w:color w:val="000000"/>
          <w:sz w:val="26"/>
          <w:szCs w:val="26"/>
          <w:lang w:eastAsia="en-ZA"/>
        </w:rPr>
        <w:t>du lancement ou du traitement d'une opération de paiement électronique ;</w:t>
      </w:r>
    </w:p>
    <w:p w:rsidR="00511881" w:rsidRPr="00511881" w:rsidRDefault="00511881" w:rsidP="00511881">
      <w:pPr>
        <w:numPr>
          <w:ilvl w:val="0"/>
          <w:numId w:val="156"/>
        </w:numPr>
        <w:spacing w:after="0" w:line="240" w:lineRule="auto"/>
        <w:ind w:right="-71"/>
        <w:jc w:val="both"/>
        <w:textAlignment w:val="baseline"/>
        <w:rPr>
          <w:rFonts w:ascii="Times New Roman" w:eastAsia="Times New Roman" w:hAnsi="Times New Roman" w:cs="Times New Roman"/>
          <w:color w:val="000000"/>
          <w:sz w:val="26"/>
          <w:szCs w:val="26"/>
          <w:lang w:eastAsia="en-ZA"/>
        </w:rPr>
      </w:pPr>
      <w:r w:rsidRPr="00511881">
        <w:rPr>
          <w:rFonts w:ascii="Times New Roman" w:eastAsia="Times New Roman" w:hAnsi="Times New Roman" w:cs="Times New Roman"/>
          <w:color w:val="000000"/>
          <w:sz w:val="26"/>
          <w:szCs w:val="26"/>
          <w:lang w:eastAsia="en-ZA"/>
        </w:rPr>
        <w:t>de la modification ou de l'altération de toute information ou donnée afférente à tout instrument ou opération de paiement électronique.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57"/>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Est puni de cinq ans à dix ans d'emprisonnement et d'une amende de 10.000.000 à 30.000.000 de Francs Congolais ou d'une de ces peines seulement, toute personne qui :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58"/>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se sera frauduleusement appropriée une carte de paiement ou tout autre instrument électronique de paiement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59"/>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aura contrefait ou falsifié une carte de paiement ou tout autre instrument électronique de paiement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60"/>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 xml:space="preserve">aura en connaissance de cause, fait usage ou tenté de faire usage d'une carte de paiement ou de tout autre instrument électronique de paiement contrefait, falsifié ou obtenu frauduleusement ;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61"/>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aura en connaissance de cause, accepté de recevoir un paiement au moyen d'une carte de paiement ou de tout autre instrument électronique de paiement contrefait, falsifié ou obtenu frauduleusement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62"/>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aura détenu, en connaissance de cause, une carte de paiement ou tout autre instrument électronique de paiement contrefait, falsifié ou obtenu frauduleusement.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63"/>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 xml:space="preserve">Est puni de cinq ans à dix ans d'emprisonnement et d'une amende de 10.000.000 à 100.000.000 de Francs Congolais ou d'une de ces peines seulement, toute personne qui : </w:t>
      </w:r>
    </w:p>
    <w:p w:rsidR="00511881" w:rsidRPr="00511881" w:rsidRDefault="00511881" w:rsidP="00511881">
      <w:pPr>
        <w:numPr>
          <w:ilvl w:val="0"/>
          <w:numId w:val="164"/>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aura sciemment utilisé une carte de paiement après opposition pour perte ou pour vol de ladite carte sans sa mainlevée préalable ;</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165"/>
        </w:numPr>
        <w:spacing w:after="0" w:line="240" w:lineRule="auto"/>
        <w:ind w:left="645"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 xml:space="preserve">continue à utiliser une carte irrégulièrement détenue malgré l'injonction de restitution reçue.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66"/>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Est puni de cinq ans à dix ans d'emprisonnement et d'une amende de 10.000.000 à 30.000.000 de Francs Congolais ou d'une de ces peines seulement, toute personne qui aura, en connaissance de cause, effectué ou fait effectuer un transfert d'argent ou de valeur monétaire, dans le but de se procurer un avantage économique illégal ou de le procurer à une autre personne, causant ainsi de manière illicite une perte de propriété à un tiers, en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67"/>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lastRenderedPageBreak/>
        <w:t>introduisant, altérant, effaçant ou supprimant des données informatiques, en particulier des données permettant l'identification et/ou l'authentification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68"/>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perturbant le fonctionnement d'un logiciel ou d'un système informatique.</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69"/>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Est puni de cinq ans à dix ans d'emprisonnement et d'une amende de 10.000.000 à 100.000.000 de Franc Congolais ou d'une de ces peines seulement :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70"/>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toute personne qui, en connaissance de cause, aura fabriqué, reçu, obtenu, vendu, cédé ou détenu illégalement des instruments, articles, logiciels ou tout autre moyen spécialement adapté pour commettre les infractions visées aux articles 90 et 91 de la présente loi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71"/>
        </w:numPr>
        <w:spacing w:after="0" w:line="240" w:lineRule="auto"/>
        <w:ind w:right="-71"/>
        <w:jc w:val="both"/>
        <w:textAlignment w:val="baseline"/>
        <w:rPr>
          <w:rFonts w:ascii="Arial" w:eastAsia="Times New Roman" w:hAnsi="Arial" w:cs="Arial"/>
          <w:color w:val="000000"/>
          <w:sz w:val="26"/>
          <w:szCs w:val="26"/>
          <w:lang w:eastAsia="en-ZA"/>
        </w:rPr>
      </w:pPr>
      <w:r w:rsidRPr="00511881">
        <w:rPr>
          <w:rFonts w:ascii="Times New Roman" w:eastAsia="Times New Roman" w:hAnsi="Times New Roman" w:cs="Times New Roman"/>
          <w:color w:val="000000"/>
          <w:sz w:val="26"/>
          <w:szCs w:val="26"/>
          <w:lang w:eastAsia="en-ZA"/>
        </w:rPr>
        <w:t xml:space="preserve">toute personne qui, méchamment ou dans un but frauduleux, aura détruit des instruments ou machines, notamment le terminal de paiement électronique et le distributeur automatique de billets.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lastRenderedPageBreak/>
        <w:t>SECTION III : DES INFRACTIONS ET DES PEINES EN MATIERE DE</w:t>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                       CHEQUES ET AUTRES EFFETS TIRES SANS DROIT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72"/>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Est puni de cinq ans à dix ans d'emprisonnement et d'une amende de 10.000.000 de Franc congolais à 100.000.000 de Franc congolais, ou de l'une de ces deux peines seulement, toute personne qui émet un chèque ou tout autre effet sans provision ou avec provision insuffisante sans régularisation dans le délai prévu à l'article 76 de la présente loi.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SECTION IV : DES INFRACTIONS SPECIFIQUES AUX PARTICIPANTS AU</w:t>
      </w: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i/>
          <w:iCs/>
          <w:color w:val="000000"/>
          <w:sz w:val="26"/>
          <w:szCs w:val="26"/>
          <w:lang w:eastAsia="en-ZA"/>
        </w:rPr>
        <w:t>                       SYSTÈME DE PAIEMENT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73"/>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lastRenderedPageBreak/>
        <w:t>Est puni d'une amende de 5.000.000 à 50.000.000 de Francs Congolais, tout établissement de crédit qui méconnait les obligations prescrites aux articles 19, 20, 30 et 33 de la présente loi.</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74"/>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Est passible d'une amende de 3.000.000 à 30.000.000 de Franc Congolais, le tiré qui n'a pas déclaré, dans les conditions prévues, les incidents de paiement ainsi que les infractions prévues par les dispositions de la présente loi.</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75"/>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Est puni de cinq ans à dix ans d'emprisonnement et d'une amende de 3.000.000 à 30.000.000 de Francs Congolais ou de l'une de ces deux peines seulement, tout opérateur de système ou tout agent de règlement qui a introduit en connaissance de cause, un ordre de paiement irrégulier sans établir qu'il était dans l'ignorance </w:t>
      </w:r>
      <w:r w:rsidRPr="00511881">
        <w:rPr>
          <w:rFonts w:ascii="Times New Roman" w:eastAsia="Times New Roman" w:hAnsi="Times New Roman" w:cs="Times New Roman"/>
          <w:color w:val="000000"/>
          <w:sz w:val="26"/>
          <w:szCs w:val="26"/>
          <w:lang w:eastAsia="en-ZA"/>
        </w:rPr>
        <w:lastRenderedPageBreak/>
        <w:t xml:space="preserve">légitime de la survenance antérieure d'une procédure d'insolvabilité, de la liquidation volontaire ou forcée du participant concerné.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76"/>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Est puni d'une amende de 3.000.000 à 30.000.000 de Francs Congolais, tout émetteur d'un instrument de paiement qui viole les dispositions de l'article 70 de la présente loi.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TITRE VIII : DES DISPOSITIONS DIVERSES ET FINALES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77"/>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Les jugements rendus en application des chapitres I et II du Titre VII de la présente loi sont notifiés à la Banque Centrale par les soins du greffe de la juridiction compétente.</w:t>
      </w:r>
    </w:p>
    <w:p w:rsidR="00511881" w:rsidRPr="00511881" w:rsidRDefault="00511881" w:rsidP="00511881">
      <w:pPr>
        <w:spacing w:after="240" w:line="240" w:lineRule="auto"/>
        <w:rPr>
          <w:rFonts w:ascii="Times New Roman" w:eastAsia="Times New Roman" w:hAnsi="Times New Roman" w:cs="Times New Roman"/>
          <w:sz w:val="24"/>
          <w:szCs w:val="24"/>
          <w:lang w:eastAsia="en-ZA"/>
        </w:rPr>
      </w:pP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lastRenderedPageBreak/>
        <w:br/>
      </w:r>
      <w:r w:rsidRPr="00511881">
        <w:rPr>
          <w:rFonts w:ascii="Times New Roman" w:eastAsia="Times New Roman" w:hAnsi="Times New Roman" w:cs="Times New Roman"/>
          <w:sz w:val="24"/>
          <w:szCs w:val="24"/>
          <w:lang w:eastAsia="en-ZA"/>
        </w:rPr>
        <w:br/>
      </w:r>
    </w:p>
    <w:p w:rsidR="00511881" w:rsidRPr="00511881" w:rsidRDefault="00511881" w:rsidP="00511881">
      <w:pPr>
        <w:numPr>
          <w:ilvl w:val="0"/>
          <w:numId w:val="178"/>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Sont abrogées, toutes les dispositions contraires à la présente loi et spécialement l'Ordonnance-Loi n° 68-195 du 3 mai 1968 relative aux chèques non provisionnés et autres effets tirés sans droit.</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79"/>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Dans les trois mois de l'entrée en vigueur de la présente loi, tout émetteur d'instruments de paiement fournira à la Banque Centrale une description détaillée des instruments de paiement qu'elle offre à ses clients.</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numPr>
          <w:ilvl w:val="0"/>
          <w:numId w:val="180"/>
        </w:numPr>
        <w:spacing w:before="100" w:beforeAutospacing="1" w:after="100" w:afterAutospacing="1" w:line="240" w:lineRule="auto"/>
        <w:textAlignment w:val="baseline"/>
        <w:rPr>
          <w:rFonts w:ascii="Times New Roman" w:eastAsia="Times New Roman" w:hAnsi="Times New Roman" w:cs="Times New Roman"/>
          <w:b/>
          <w:bCs/>
          <w:i/>
          <w:iCs/>
          <w:color w:val="000000"/>
          <w:sz w:val="24"/>
          <w:szCs w:val="24"/>
          <w:lang w:eastAsia="en-ZA"/>
        </w:rPr>
      </w:pP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La présente loi entre en vigueur dès sa publication au journal officiel.</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Fait à Kinshasa, le ………………………</w:t>
      </w:r>
    </w:p>
    <w:p w:rsidR="00511881" w:rsidRPr="00511881" w:rsidRDefault="00511881" w:rsidP="00511881">
      <w:pPr>
        <w:spacing w:after="0" w:line="240" w:lineRule="auto"/>
        <w:rPr>
          <w:rFonts w:ascii="Times New Roman" w:eastAsia="Times New Roman" w:hAnsi="Times New Roman" w:cs="Times New Roman"/>
          <w:sz w:val="24"/>
          <w:szCs w:val="24"/>
          <w:lang w:eastAsia="en-ZA"/>
        </w:rPr>
      </w:pP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b/>
          <w:bCs/>
          <w:color w:val="000000"/>
          <w:sz w:val="26"/>
          <w:szCs w:val="26"/>
          <w:lang w:eastAsia="en-ZA"/>
        </w:rPr>
        <w:t>                                                Joseph KABILA KABANGE</w:t>
      </w:r>
    </w:p>
    <w:p w:rsidR="00511881" w:rsidRPr="00511881" w:rsidRDefault="00511881" w:rsidP="00511881">
      <w:pPr>
        <w:spacing w:after="0" w:line="240" w:lineRule="auto"/>
        <w:ind w:right="-71"/>
        <w:jc w:val="both"/>
        <w:rPr>
          <w:rFonts w:ascii="Times New Roman" w:eastAsia="Times New Roman" w:hAnsi="Times New Roman" w:cs="Times New Roman"/>
          <w:sz w:val="24"/>
          <w:szCs w:val="24"/>
          <w:lang w:eastAsia="en-ZA"/>
        </w:rPr>
      </w:pPr>
      <w:r w:rsidRPr="00511881">
        <w:rPr>
          <w:rFonts w:ascii="Times New Roman" w:eastAsia="Times New Roman" w:hAnsi="Times New Roman" w:cs="Times New Roman"/>
          <w:color w:val="000000"/>
          <w:sz w:val="26"/>
          <w:szCs w:val="26"/>
          <w:lang w:eastAsia="en-ZA"/>
        </w:rPr>
        <w:t xml:space="preserve">                                                             Président </w:t>
      </w:r>
    </w:p>
    <w:p w:rsidR="00053A01" w:rsidRDefault="00511881" w:rsidP="00511881">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r w:rsidRPr="00511881">
        <w:rPr>
          <w:rFonts w:ascii="Times New Roman" w:eastAsia="Times New Roman" w:hAnsi="Times New Roman" w:cs="Times New Roman"/>
          <w:sz w:val="24"/>
          <w:szCs w:val="24"/>
          <w:lang w:eastAsia="en-ZA"/>
        </w:rPr>
        <w:br/>
      </w:r>
    </w:p>
    <w:sectPr w:rsidR="00053A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Questrial">
    <w:altName w:val="Times New Roman"/>
    <w:panose1 w:val="00000000000000000000"/>
    <w:charset w:val="00"/>
    <w:family w:val="roman"/>
    <w:notTrueType/>
    <w:pitch w:val="default"/>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3201E"/>
    <w:multiLevelType w:val="multilevel"/>
    <w:tmpl w:val="C9DC8962"/>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2D50F8"/>
    <w:multiLevelType w:val="multilevel"/>
    <w:tmpl w:val="FED4C6A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CA567F"/>
    <w:multiLevelType w:val="multilevel"/>
    <w:tmpl w:val="2556A914"/>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EE48DD"/>
    <w:multiLevelType w:val="multilevel"/>
    <w:tmpl w:val="F72C17C2"/>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662F59"/>
    <w:multiLevelType w:val="multilevel"/>
    <w:tmpl w:val="2CFAE2D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B87594"/>
    <w:multiLevelType w:val="multilevel"/>
    <w:tmpl w:val="1618079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A208D7"/>
    <w:multiLevelType w:val="multilevel"/>
    <w:tmpl w:val="C15C7B8C"/>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44201FC"/>
    <w:multiLevelType w:val="multilevel"/>
    <w:tmpl w:val="B444366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4B07958"/>
    <w:multiLevelType w:val="multilevel"/>
    <w:tmpl w:val="FCC8164A"/>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4F13C78"/>
    <w:multiLevelType w:val="multilevel"/>
    <w:tmpl w:val="EED8956C"/>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55F4260"/>
    <w:multiLevelType w:val="multilevel"/>
    <w:tmpl w:val="564E757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5CA42AC"/>
    <w:multiLevelType w:val="multilevel"/>
    <w:tmpl w:val="E4DC4FEC"/>
    <w:lvl w:ilvl="0">
      <w:start w:val="10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60A5978"/>
    <w:multiLevelType w:val="multilevel"/>
    <w:tmpl w:val="24C2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61A3863"/>
    <w:multiLevelType w:val="multilevel"/>
    <w:tmpl w:val="C22E0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6D96446"/>
    <w:multiLevelType w:val="multilevel"/>
    <w:tmpl w:val="27CAE492"/>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8902FB9"/>
    <w:multiLevelType w:val="multilevel"/>
    <w:tmpl w:val="114CE798"/>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89E35DE"/>
    <w:multiLevelType w:val="multilevel"/>
    <w:tmpl w:val="754433CA"/>
    <w:lvl w:ilvl="0">
      <w:start w:val="3"/>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95B1D42"/>
    <w:multiLevelType w:val="multilevel"/>
    <w:tmpl w:val="25A2FC82"/>
    <w:lvl w:ilvl="0">
      <w:start w:val="10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9BC265D"/>
    <w:multiLevelType w:val="multilevel"/>
    <w:tmpl w:val="C95C7D6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CD0445A"/>
    <w:multiLevelType w:val="multilevel"/>
    <w:tmpl w:val="D756A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7E3F50"/>
    <w:multiLevelType w:val="multilevel"/>
    <w:tmpl w:val="5A6EBD84"/>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E2B3BDC"/>
    <w:multiLevelType w:val="multilevel"/>
    <w:tmpl w:val="6478E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EC85358"/>
    <w:multiLevelType w:val="multilevel"/>
    <w:tmpl w:val="5FCEE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FD0408E"/>
    <w:multiLevelType w:val="multilevel"/>
    <w:tmpl w:val="9A82F7D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FDB745E"/>
    <w:multiLevelType w:val="multilevel"/>
    <w:tmpl w:val="3ABC9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8C102C"/>
    <w:multiLevelType w:val="multilevel"/>
    <w:tmpl w:val="4A6446E0"/>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0CC04D7"/>
    <w:multiLevelType w:val="multilevel"/>
    <w:tmpl w:val="B2DACD32"/>
    <w:lvl w:ilvl="0">
      <w:start w:val="10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0DF76F9"/>
    <w:multiLevelType w:val="multilevel"/>
    <w:tmpl w:val="DF043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F06EB9"/>
    <w:multiLevelType w:val="multilevel"/>
    <w:tmpl w:val="09EAC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1B7502A"/>
    <w:multiLevelType w:val="multilevel"/>
    <w:tmpl w:val="27CE6D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265563A"/>
    <w:multiLevelType w:val="multilevel"/>
    <w:tmpl w:val="72EE70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3E31BA4"/>
    <w:multiLevelType w:val="multilevel"/>
    <w:tmpl w:val="510A4920"/>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4424BA9"/>
    <w:multiLevelType w:val="multilevel"/>
    <w:tmpl w:val="A164286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6D77069"/>
    <w:multiLevelType w:val="multilevel"/>
    <w:tmpl w:val="7194DF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7152786"/>
    <w:multiLevelType w:val="multilevel"/>
    <w:tmpl w:val="DA3E2AE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7E5680F"/>
    <w:multiLevelType w:val="multilevel"/>
    <w:tmpl w:val="CA746F2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8704722"/>
    <w:multiLevelType w:val="multilevel"/>
    <w:tmpl w:val="356A7226"/>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8CD2350"/>
    <w:multiLevelType w:val="multilevel"/>
    <w:tmpl w:val="F5CAD90A"/>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9946A9B"/>
    <w:multiLevelType w:val="multilevel"/>
    <w:tmpl w:val="F4982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AB259C2"/>
    <w:multiLevelType w:val="multilevel"/>
    <w:tmpl w:val="6FF8D906"/>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AF27232"/>
    <w:multiLevelType w:val="multilevel"/>
    <w:tmpl w:val="551A39FC"/>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CB052FA"/>
    <w:multiLevelType w:val="multilevel"/>
    <w:tmpl w:val="18E43ED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D0F09D0"/>
    <w:multiLevelType w:val="multilevel"/>
    <w:tmpl w:val="40CC5434"/>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F7513A5"/>
    <w:multiLevelType w:val="multilevel"/>
    <w:tmpl w:val="9F96CE58"/>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0297B9D"/>
    <w:multiLevelType w:val="multilevel"/>
    <w:tmpl w:val="FF306D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103395F"/>
    <w:multiLevelType w:val="multilevel"/>
    <w:tmpl w:val="7A2458A4"/>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1FF786E"/>
    <w:multiLevelType w:val="multilevel"/>
    <w:tmpl w:val="EE7CBDF8"/>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22D5687"/>
    <w:multiLevelType w:val="multilevel"/>
    <w:tmpl w:val="89BA2AAA"/>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2990E66"/>
    <w:multiLevelType w:val="multilevel"/>
    <w:tmpl w:val="2F0897DC"/>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2F25DB8"/>
    <w:multiLevelType w:val="multilevel"/>
    <w:tmpl w:val="6DE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46B60D2"/>
    <w:multiLevelType w:val="multilevel"/>
    <w:tmpl w:val="36D2A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541581A"/>
    <w:multiLevelType w:val="multilevel"/>
    <w:tmpl w:val="711841A6"/>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9055A26"/>
    <w:multiLevelType w:val="multilevel"/>
    <w:tmpl w:val="6AAEF4B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933390D"/>
    <w:multiLevelType w:val="multilevel"/>
    <w:tmpl w:val="ECAAD38C"/>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9C06A1C"/>
    <w:multiLevelType w:val="multilevel"/>
    <w:tmpl w:val="1626F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BC30885"/>
    <w:multiLevelType w:val="multilevel"/>
    <w:tmpl w:val="FCE69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C2B273A"/>
    <w:multiLevelType w:val="multilevel"/>
    <w:tmpl w:val="4E487A16"/>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C382A9A"/>
    <w:multiLevelType w:val="multilevel"/>
    <w:tmpl w:val="FE606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C532E20"/>
    <w:multiLevelType w:val="multilevel"/>
    <w:tmpl w:val="67F0E4C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C9643E3"/>
    <w:multiLevelType w:val="multilevel"/>
    <w:tmpl w:val="532A0D1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D2F1FF0"/>
    <w:multiLevelType w:val="multilevel"/>
    <w:tmpl w:val="C0BCA8C2"/>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DA13A5B"/>
    <w:multiLevelType w:val="multilevel"/>
    <w:tmpl w:val="D316AE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E023D05"/>
    <w:multiLevelType w:val="multilevel"/>
    <w:tmpl w:val="411C305C"/>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2EA664F7"/>
    <w:multiLevelType w:val="multilevel"/>
    <w:tmpl w:val="3C26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ED43E0B"/>
    <w:multiLevelType w:val="multilevel"/>
    <w:tmpl w:val="C35E8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F052228"/>
    <w:multiLevelType w:val="multilevel"/>
    <w:tmpl w:val="2B3055E2"/>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05268C2"/>
    <w:multiLevelType w:val="multilevel"/>
    <w:tmpl w:val="639CC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09F7702"/>
    <w:multiLevelType w:val="multilevel"/>
    <w:tmpl w:val="B13AA74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2EF4763"/>
    <w:multiLevelType w:val="multilevel"/>
    <w:tmpl w:val="A3766A3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3366836"/>
    <w:multiLevelType w:val="multilevel"/>
    <w:tmpl w:val="54D4C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3656758"/>
    <w:multiLevelType w:val="multilevel"/>
    <w:tmpl w:val="D11A7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401596E"/>
    <w:multiLevelType w:val="multilevel"/>
    <w:tmpl w:val="5190860E"/>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40B3F7E"/>
    <w:multiLevelType w:val="multilevel"/>
    <w:tmpl w:val="23B2D33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435185D"/>
    <w:multiLevelType w:val="multilevel"/>
    <w:tmpl w:val="CF2A27A2"/>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5B803DC"/>
    <w:multiLevelType w:val="multilevel"/>
    <w:tmpl w:val="9348A26A"/>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5D60368"/>
    <w:multiLevelType w:val="multilevel"/>
    <w:tmpl w:val="C22E01B2"/>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67B5386"/>
    <w:multiLevelType w:val="multilevel"/>
    <w:tmpl w:val="082E1908"/>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6AD39C8"/>
    <w:multiLevelType w:val="multilevel"/>
    <w:tmpl w:val="DF08F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9047E2C"/>
    <w:multiLevelType w:val="multilevel"/>
    <w:tmpl w:val="8072120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39983F8E"/>
    <w:multiLevelType w:val="multilevel"/>
    <w:tmpl w:val="E990F9A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9C8747A"/>
    <w:multiLevelType w:val="multilevel"/>
    <w:tmpl w:val="9368742A"/>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3A173F88"/>
    <w:multiLevelType w:val="multilevel"/>
    <w:tmpl w:val="197C2C1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3A4C2DAE"/>
    <w:multiLevelType w:val="multilevel"/>
    <w:tmpl w:val="6D98CA7A"/>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A714A78"/>
    <w:multiLevelType w:val="multilevel"/>
    <w:tmpl w:val="3050C05C"/>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B2F4B78"/>
    <w:multiLevelType w:val="multilevel"/>
    <w:tmpl w:val="EA544372"/>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3B3E6876"/>
    <w:multiLevelType w:val="multilevel"/>
    <w:tmpl w:val="9E4A2188"/>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3C827627"/>
    <w:multiLevelType w:val="multilevel"/>
    <w:tmpl w:val="EC62EB5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3CAB3DD5"/>
    <w:multiLevelType w:val="multilevel"/>
    <w:tmpl w:val="B03C7E6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3CDB6BEE"/>
    <w:multiLevelType w:val="multilevel"/>
    <w:tmpl w:val="9BA46F3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3D3855D6"/>
    <w:multiLevelType w:val="multilevel"/>
    <w:tmpl w:val="783CFDC4"/>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3D620895"/>
    <w:multiLevelType w:val="multilevel"/>
    <w:tmpl w:val="D334F6B4"/>
    <w:lvl w:ilvl="0">
      <w:start w:val="10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3DDE33C4"/>
    <w:multiLevelType w:val="multilevel"/>
    <w:tmpl w:val="2CF28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DF360ED"/>
    <w:multiLevelType w:val="multilevel"/>
    <w:tmpl w:val="4CD4EFA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40111442"/>
    <w:multiLevelType w:val="multilevel"/>
    <w:tmpl w:val="A644270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0247216"/>
    <w:multiLevelType w:val="multilevel"/>
    <w:tmpl w:val="257ED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18D6D76"/>
    <w:multiLevelType w:val="multilevel"/>
    <w:tmpl w:val="1A4C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2C126D7"/>
    <w:multiLevelType w:val="multilevel"/>
    <w:tmpl w:val="92E8739E"/>
    <w:lvl w:ilvl="0">
      <w:start w:val="10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43090122"/>
    <w:multiLevelType w:val="multilevel"/>
    <w:tmpl w:val="32FAEB7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30C5479"/>
    <w:multiLevelType w:val="multilevel"/>
    <w:tmpl w:val="DF38215E"/>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3265A84"/>
    <w:multiLevelType w:val="multilevel"/>
    <w:tmpl w:val="A1E672A4"/>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43513885"/>
    <w:multiLevelType w:val="multilevel"/>
    <w:tmpl w:val="0C4C29C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43915030"/>
    <w:multiLevelType w:val="multilevel"/>
    <w:tmpl w:val="0BF8751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39D1487"/>
    <w:multiLevelType w:val="multilevel"/>
    <w:tmpl w:val="741E3D50"/>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39D2FEE"/>
    <w:multiLevelType w:val="multilevel"/>
    <w:tmpl w:val="0A2C7A4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43BB27CC"/>
    <w:multiLevelType w:val="multilevel"/>
    <w:tmpl w:val="C8422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3EE33C9"/>
    <w:multiLevelType w:val="multilevel"/>
    <w:tmpl w:val="C922C9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4327486"/>
    <w:multiLevelType w:val="multilevel"/>
    <w:tmpl w:val="2EEC968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45811E02"/>
    <w:multiLevelType w:val="multilevel"/>
    <w:tmpl w:val="EAF084B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72C2C15"/>
    <w:multiLevelType w:val="multilevel"/>
    <w:tmpl w:val="A0044C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478C0672"/>
    <w:multiLevelType w:val="multilevel"/>
    <w:tmpl w:val="EE18D7F0"/>
    <w:lvl w:ilvl="0">
      <w:start w:val="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47DB72E5"/>
    <w:multiLevelType w:val="multilevel"/>
    <w:tmpl w:val="2AC2C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47EE2923"/>
    <w:multiLevelType w:val="multilevel"/>
    <w:tmpl w:val="DCE016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48551FEA"/>
    <w:multiLevelType w:val="multilevel"/>
    <w:tmpl w:val="164809C0"/>
    <w:lvl w:ilvl="0">
      <w:start w:val="10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48605EA8"/>
    <w:multiLevelType w:val="multilevel"/>
    <w:tmpl w:val="406240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49120168"/>
    <w:multiLevelType w:val="multilevel"/>
    <w:tmpl w:val="34E46AA2"/>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4A6F3947"/>
    <w:multiLevelType w:val="multilevel"/>
    <w:tmpl w:val="3064E7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4CDB42F5"/>
    <w:multiLevelType w:val="multilevel"/>
    <w:tmpl w:val="00CE49EA"/>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4E0670D2"/>
    <w:multiLevelType w:val="multilevel"/>
    <w:tmpl w:val="DBC01726"/>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4E0A0DA5"/>
    <w:multiLevelType w:val="multilevel"/>
    <w:tmpl w:val="246A712E"/>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4EA967C7"/>
    <w:multiLevelType w:val="multilevel"/>
    <w:tmpl w:val="FE40AC0A"/>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4EB37CD0"/>
    <w:multiLevelType w:val="multilevel"/>
    <w:tmpl w:val="2410E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0354C20"/>
    <w:multiLevelType w:val="multilevel"/>
    <w:tmpl w:val="6EE0F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1ED4A7C"/>
    <w:multiLevelType w:val="multilevel"/>
    <w:tmpl w:val="8C0E9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3AD63B2"/>
    <w:multiLevelType w:val="multilevel"/>
    <w:tmpl w:val="E830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45A48C7"/>
    <w:multiLevelType w:val="multilevel"/>
    <w:tmpl w:val="9EBC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4BA22F7"/>
    <w:multiLevelType w:val="multilevel"/>
    <w:tmpl w:val="3C68D2D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54F63852"/>
    <w:multiLevelType w:val="multilevel"/>
    <w:tmpl w:val="C53AB3A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565F3EB5"/>
    <w:multiLevelType w:val="multilevel"/>
    <w:tmpl w:val="DA78A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6E00DFA"/>
    <w:multiLevelType w:val="multilevel"/>
    <w:tmpl w:val="E396A0A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58002FF3"/>
    <w:multiLevelType w:val="multilevel"/>
    <w:tmpl w:val="9030FE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583815A6"/>
    <w:multiLevelType w:val="multilevel"/>
    <w:tmpl w:val="8398FB7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5B871016"/>
    <w:multiLevelType w:val="multilevel"/>
    <w:tmpl w:val="BC2A313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5F6E5460"/>
    <w:multiLevelType w:val="multilevel"/>
    <w:tmpl w:val="427AA710"/>
    <w:lvl w:ilvl="0">
      <w:start w:val="9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5F7D1BE9"/>
    <w:multiLevelType w:val="multilevel"/>
    <w:tmpl w:val="C444F8EC"/>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5FAD2A72"/>
    <w:multiLevelType w:val="multilevel"/>
    <w:tmpl w:val="07443144"/>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5FE92C62"/>
    <w:multiLevelType w:val="multilevel"/>
    <w:tmpl w:val="BCF809F8"/>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60B30209"/>
    <w:multiLevelType w:val="multilevel"/>
    <w:tmpl w:val="6CA2FF18"/>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61497E31"/>
    <w:multiLevelType w:val="multilevel"/>
    <w:tmpl w:val="E40ADA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61B1168C"/>
    <w:multiLevelType w:val="multilevel"/>
    <w:tmpl w:val="66E6ED88"/>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623E28CD"/>
    <w:multiLevelType w:val="multilevel"/>
    <w:tmpl w:val="FDAE7E96"/>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64567712"/>
    <w:multiLevelType w:val="multilevel"/>
    <w:tmpl w:val="7D664C76"/>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64822C48"/>
    <w:multiLevelType w:val="multilevel"/>
    <w:tmpl w:val="FD52DD7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55D6202"/>
    <w:multiLevelType w:val="multilevel"/>
    <w:tmpl w:val="4592845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5E2664F"/>
    <w:multiLevelType w:val="multilevel"/>
    <w:tmpl w:val="578E5660"/>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66E07972"/>
    <w:multiLevelType w:val="multilevel"/>
    <w:tmpl w:val="B27A790C"/>
    <w:lvl w:ilvl="0">
      <w:start w:val="9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67A27A8C"/>
    <w:multiLevelType w:val="multilevel"/>
    <w:tmpl w:val="21BA6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7EE5113"/>
    <w:multiLevelType w:val="multilevel"/>
    <w:tmpl w:val="223E2B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69D968F0"/>
    <w:multiLevelType w:val="multilevel"/>
    <w:tmpl w:val="2D6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A92228E"/>
    <w:multiLevelType w:val="multilevel"/>
    <w:tmpl w:val="B6DA50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6B1B434E"/>
    <w:multiLevelType w:val="multilevel"/>
    <w:tmpl w:val="A8CAF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6B5B59EF"/>
    <w:multiLevelType w:val="multilevel"/>
    <w:tmpl w:val="C5F0FFF6"/>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6BDC15FE"/>
    <w:multiLevelType w:val="multilevel"/>
    <w:tmpl w:val="A7F4B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C2750F8"/>
    <w:multiLevelType w:val="multilevel"/>
    <w:tmpl w:val="0688E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C4D0DAF"/>
    <w:multiLevelType w:val="multilevel"/>
    <w:tmpl w:val="3E2452F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6CF13A26"/>
    <w:multiLevelType w:val="multilevel"/>
    <w:tmpl w:val="E2EAC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6D2F7B82"/>
    <w:multiLevelType w:val="multilevel"/>
    <w:tmpl w:val="1108D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6DAC3028"/>
    <w:multiLevelType w:val="multilevel"/>
    <w:tmpl w:val="3F6A3582"/>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6FD22A87"/>
    <w:multiLevelType w:val="multilevel"/>
    <w:tmpl w:val="6DB66BE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700D71B2"/>
    <w:multiLevelType w:val="multilevel"/>
    <w:tmpl w:val="23747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0251D65"/>
    <w:multiLevelType w:val="multilevel"/>
    <w:tmpl w:val="E9C4AD1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70BB17DF"/>
    <w:multiLevelType w:val="multilevel"/>
    <w:tmpl w:val="E5B047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71A0688D"/>
    <w:multiLevelType w:val="multilevel"/>
    <w:tmpl w:val="6462913A"/>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1BE506E"/>
    <w:multiLevelType w:val="multilevel"/>
    <w:tmpl w:val="8D1C071C"/>
    <w:lvl w:ilvl="0">
      <w:start w:val="10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71E47E94"/>
    <w:multiLevelType w:val="multilevel"/>
    <w:tmpl w:val="74CC17CA"/>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73072E4B"/>
    <w:multiLevelType w:val="multilevel"/>
    <w:tmpl w:val="4022C89A"/>
    <w:lvl w:ilvl="0">
      <w:start w:val="8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747F0014"/>
    <w:multiLevelType w:val="multilevel"/>
    <w:tmpl w:val="49F22472"/>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75133E4B"/>
    <w:multiLevelType w:val="multilevel"/>
    <w:tmpl w:val="0246B8FC"/>
    <w:lvl w:ilvl="0">
      <w:start w:val="9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755225CF"/>
    <w:multiLevelType w:val="multilevel"/>
    <w:tmpl w:val="4498DD36"/>
    <w:lvl w:ilvl="0">
      <w:start w:val="9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7557539A"/>
    <w:multiLevelType w:val="multilevel"/>
    <w:tmpl w:val="1C30E4AA"/>
    <w:lvl w:ilvl="0">
      <w:start w:val="10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770A0541"/>
    <w:multiLevelType w:val="multilevel"/>
    <w:tmpl w:val="A1D8622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777E5D89"/>
    <w:multiLevelType w:val="multilevel"/>
    <w:tmpl w:val="2F6A82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788A27F1"/>
    <w:multiLevelType w:val="multilevel"/>
    <w:tmpl w:val="20C208C0"/>
    <w:lvl w:ilvl="0">
      <w:start w:val="10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7B136B82"/>
    <w:multiLevelType w:val="multilevel"/>
    <w:tmpl w:val="6186B1F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7B1E0235"/>
    <w:multiLevelType w:val="multilevel"/>
    <w:tmpl w:val="A2FC3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BB76AF8"/>
    <w:multiLevelType w:val="multilevel"/>
    <w:tmpl w:val="E68C3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7C7D0FB9"/>
    <w:multiLevelType w:val="multilevel"/>
    <w:tmpl w:val="A30A632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7D3645D8"/>
    <w:multiLevelType w:val="multilevel"/>
    <w:tmpl w:val="61346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7E0B4C09"/>
    <w:multiLevelType w:val="multilevel"/>
    <w:tmpl w:val="819A6A74"/>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7E2806F7"/>
    <w:multiLevelType w:val="multilevel"/>
    <w:tmpl w:val="DCCA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7EEC689E"/>
    <w:multiLevelType w:val="multilevel"/>
    <w:tmpl w:val="890AA7BA"/>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6"/>
  </w:num>
  <w:num w:numId="2">
    <w:abstractNumId w:val="21"/>
  </w:num>
  <w:num w:numId="3">
    <w:abstractNumId w:val="111"/>
    <w:lvlOverride w:ilvl="0">
      <w:lvl w:ilvl="0">
        <w:numFmt w:val="decimal"/>
        <w:lvlText w:val="%1."/>
        <w:lvlJc w:val="left"/>
      </w:lvl>
    </w:lvlOverride>
  </w:num>
  <w:num w:numId="4">
    <w:abstractNumId w:val="120"/>
  </w:num>
  <w:num w:numId="5">
    <w:abstractNumId w:val="104"/>
  </w:num>
  <w:num w:numId="6">
    <w:abstractNumId w:val="105"/>
    <w:lvlOverride w:ilvl="0">
      <w:lvl w:ilvl="0">
        <w:numFmt w:val="decimal"/>
        <w:lvlText w:val="%1."/>
        <w:lvlJc w:val="left"/>
      </w:lvl>
    </w:lvlOverride>
  </w:num>
  <w:num w:numId="7">
    <w:abstractNumId w:val="110"/>
  </w:num>
  <w:num w:numId="8">
    <w:abstractNumId w:val="137"/>
    <w:lvlOverride w:ilvl="0">
      <w:lvl w:ilvl="0">
        <w:numFmt w:val="decimal"/>
        <w:lvlText w:val="%1."/>
        <w:lvlJc w:val="left"/>
      </w:lvl>
    </w:lvlOverride>
  </w:num>
  <w:num w:numId="9">
    <w:abstractNumId w:val="108"/>
    <w:lvlOverride w:ilvl="0">
      <w:lvl w:ilvl="0">
        <w:numFmt w:val="decimal"/>
        <w:lvlText w:val="%1."/>
        <w:lvlJc w:val="left"/>
      </w:lvl>
    </w:lvlOverride>
  </w:num>
  <w:num w:numId="10">
    <w:abstractNumId w:val="148"/>
    <w:lvlOverride w:ilvl="0">
      <w:lvl w:ilvl="0">
        <w:numFmt w:val="decimal"/>
        <w:lvlText w:val="%1."/>
        <w:lvlJc w:val="left"/>
      </w:lvl>
    </w:lvlOverride>
  </w:num>
  <w:num w:numId="11">
    <w:abstractNumId w:val="160"/>
    <w:lvlOverride w:ilvl="0">
      <w:lvl w:ilvl="0">
        <w:numFmt w:val="decimal"/>
        <w:lvlText w:val="%1."/>
        <w:lvlJc w:val="left"/>
      </w:lvl>
    </w:lvlOverride>
  </w:num>
  <w:num w:numId="12">
    <w:abstractNumId w:val="176"/>
    <w:lvlOverride w:ilvl="0">
      <w:lvl w:ilvl="0">
        <w:numFmt w:val="lowerLetter"/>
        <w:lvlText w:val="%1."/>
        <w:lvlJc w:val="left"/>
      </w:lvl>
    </w:lvlOverride>
  </w:num>
  <w:num w:numId="13">
    <w:abstractNumId w:val="129"/>
    <w:lvlOverride w:ilvl="0">
      <w:lvl w:ilvl="0">
        <w:numFmt w:val="decimal"/>
        <w:lvlText w:val="%1."/>
        <w:lvlJc w:val="left"/>
      </w:lvl>
    </w:lvlOverride>
  </w:num>
  <w:num w:numId="14">
    <w:abstractNumId w:val="33"/>
    <w:lvlOverride w:ilvl="0">
      <w:lvl w:ilvl="0">
        <w:numFmt w:val="decimal"/>
        <w:lvlText w:val="%1."/>
        <w:lvlJc w:val="left"/>
      </w:lvl>
    </w:lvlOverride>
  </w:num>
  <w:num w:numId="15">
    <w:abstractNumId w:val="34"/>
    <w:lvlOverride w:ilvl="0">
      <w:lvl w:ilvl="0">
        <w:numFmt w:val="decimal"/>
        <w:lvlText w:val="%1."/>
        <w:lvlJc w:val="left"/>
      </w:lvl>
    </w:lvlOverride>
  </w:num>
  <w:num w:numId="16">
    <w:abstractNumId w:val="93"/>
    <w:lvlOverride w:ilvl="0">
      <w:lvl w:ilvl="0">
        <w:numFmt w:val="decimal"/>
        <w:lvlText w:val="%1."/>
        <w:lvlJc w:val="left"/>
      </w:lvl>
    </w:lvlOverride>
  </w:num>
  <w:num w:numId="17">
    <w:abstractNumId w:val="72"/>
    <w:lvlOverride w:ilvl="0">
      <w:lvl w:ilvl="0">
        <w:numFmt w:val="decimal"/>
        <w:lvlText w:val="%1."/>
        <w:lvlJc w:val="left"/>
      </w:lvl>
    </w:lvlOverride>
  </w:num>
  <w:num w:numId="18">
    <w:abstractNumId w:val="86"/>
    <w:lvlOverride w:ilvl="0">
      <w:lvl w:ilvl="0">
        <w:numFmt w:val="decimal"/>
        <w:lvlText w:val="%1."/>
        <w:lvlJc w:val="left"/>
      </w:lvl>
    </w:lvlOverride>
  </w:num>
  <w:num w:numId="19">
    <w:abstractNumId w:val="142"/>
    <w:lvlOverride w:ilvl="0">
      <w:lvl w:ilvl="0">
        <w:numFmt w:val="decimal"/>
        <w:lvlText w:val="%1."/>
        <w:lvlJc w:val="left"/>
      </w:lvl>
    </w:lvlOverride>
  </w:num>
  <w:num w:numId="20">
    <w:abstractNumId w:val="81"/>
    <w:lvlOverride w:ilvl="0">
      <w:lvl w:ilvl="0">
        <w:numFmt w:val="decimal"/>
        <w:lvlText w:val="%1."/>
        <w:lvlJc w:val="left"/>
      </w:lvl>
    </w:lvlOverride>
  </w:num>
  <w:num w:numId="21">
    <w:abstractNumId w:val="146"/>
    <w:lvlOverride w:ilvl="0">
      <w:lvl w:ilvl="0">
        <w:numFmt w:val="decimal"/>
        <w:lvlText w:val="%1."/>
        <w:lvlJc w:val="left"/>
      </w:lvl>
    </w:lvlOverride>
  </w:num>
  <w:num w:numId="22">
    <w:abstractNumId w:val="7"/>
    <w:lvlOverride w:ilvl="0">
      <w:lvl w:ilvl="0">
        <w:numFmt w:val="decimal"/>
        <w:lvlText w:val="%1."/>
        <w:lvlJc w:val="left"/>
      </w:lvl>
    </w:lvlOverride>
  </w:num>
  <w:num w:numId="23">
    <w:abstractNumId w:val="100"/>
    <w:lvlOverride w:ilvl="0">
      <w:lvl w:ilvl="0">
        <w:numFmt w:val="decimal"/>
        <w:lvlText w:val="%1."/>
        <w:lvlJc w:val="left"/>
      </w:lvl>
    </w:lvlOverride>
  </w:num>
  <w:num w:numId="24">
    <w:abstractNumId w:val="10"/>
    <w:lvlOverride w:ilvl="0">
      <w:lvl w:ilvl="0">
        <w:numFmt w:val="decimal"/>
        <w:lvlText w:val="%1."/>
        <w:lvlJc w:val="left"/>
      </w:lvl>
    </w:lvlOverride>
  </w:num>
  <w:num w:numId="25">
    <w:abstractNumId w:val="38"/>
  </w:num>
  <w:num w:numId="26">
    <w:abstractNumId w:val="153"/>
    <w:lvlOverride w:ilvl="0">
      <w:lvl w:ilvl="0">
        <w:numFmt w:val="decimal"/>
        <w:lvlText w:val="%1."/>
        <w:lvlJc w:val="left"/>
      </w:lvl>
    </w:lvlOverride>
  </w:num>
  <w:num w:numId="27">
    <w:abstractNumId w:val="97"/>
    <w:lvlOverride w:ilvl="0">
      <w:lvl w:ilvl="0">
        <w:numFmt w:val="decimal"/>
        <w:lvlText w:val="%1."/>
        <w:lvlJc w:val="left"/>
      </w:lvl>
    </w:lvlOverride>
  </w:num>
  <w:num w:numId="28">
    <w:abstractNumId w:val="172"/>
    <w:lvlOverride w:ilvl="0">
      <w:lvl w:ilvl="0">
        <w:numFmt w:val="decimal"/>
        <w:lvlText w:val="%1."/>
        <w:lvlJc w:val="left"/>
      </w:lvl>
    </w:lvlOverride>
  </w:num>
  <w:num w:numId="29">
    <w:abstractNumId w:val="126"/>
    <w:lvlOverride w:ilvl="0">
      <w:lvl w:ilvl="0">
        <w:numFmt w:val="decimal"/>
        <w:lvlText w:val="%1."/>
        <w:lvlJc w:val="left"/>
      </w:lvl>
    </w:lvlOverride>
  </w:num>
  <w:num w:numId="30">
    <w:abstractNumId w:val="175"/>
    <w:lvlOverride w:ilvl="0">
      <w:lvl w:ilvl="0">
        <w:numFmt w:val="decimal"/>
        <w:lvlText w:val="%1."/>
        <w:lvlJc w:val="left"/>
      </w:lvl>
    </w:lvlOverride>
  </w:num>
  <w:num w:numId="31">
    <w:abstractNumId w:val="68"/>
    <w:lvlOverride w:ilvl="0">
      <w:lvl w:ilvl="0">
        <w:numFmt w:val="decimal"/>
        <w:lvlText w:val="%1."/>
        <w:lvlJc w:val="left"/>
      </w:lvl>
    </w:lvlOverride>
  </w:num>
  <w:num w:numId="32">
    <w:abstractNumId w:val="157"/>
    <w:lvlOverride w:ilvl="0">
      <w:lvl w:ilvl="0">
        <w:numFmt w:val="decimal"/>
        <w:lvlText w:val="%1."/>
        <w:lvlJc w:val="left"/>
      </w:lvl>
    </w:lvlOverride>
  </w:num>
  <w:num w:numId="33">
    <w:abstractNumId w:val="141"/>
    <w:lvlOverride w:ilvl="0">
      <w:lvl w:ilvl="0">
        <w:numFmt w:val="decimal"/>
        <w:lvlText w:val="%1."/>
        <w:lvlJc w:val="left"/>
      </w:lvl>
    </w:lvlOverride>
  </w:num>
  <w:num w:numId="34">
    <w:abstractNumId w:val="41"/>
    <w:lvlOverride w:ilvl="0">
      <w:lvl w:ilvl="0">
        <w:numFmt w:val="decimal"/>
        <w:lvlText w:val="%1."/>
        <w:lvlJc w:val="left"/>
      </w:lvl>
    </w:lvlOverride>
  </w:num>
  <w:num w:numId="35">
    <w:abstractNumId w:val="30"/>
    <w:lvlOverride w:ilvl="0">
      <w:lvl w:ilvl="0">
        <w:numFmt w:val="decimal"/>
        <w:lvlText w:val="%1."/>
        <w:lvlJc w:val="left"/>
      </w:lvl>
    </w:lvlOverride>
  </w:num>
  <w:num w:numId="36">
    <w:abstractNumId w:val="50"/>
  </w:num>
  <w:num w:numId="37">
    <w:abstractNumId w:val="44"/>
    <w:lvlOverride w:ilvl="0">
      <w:lvl w:ilvl="0">
        <w:numFmt w:val="decimal"/>
        <w:lvlText w:val="%1."/>
        <w:lvlJc w:val="left"/>
      </w:lvl>
    </w:lvlOverride>
  </w:num>
  <w:num w:numId="38">
    <w:abstractNumId w:val="113"/>
    <w:lvlOverride w:ilvl="0">
      <w:lvl w:ilvl="0">
        <w:numFmt w:val="decimal"/>
        <w:lvlText w:val="%1."/>
        <w:lvlJc w:val="left"/>
      </w:lvl>
    </w:lvlOverride>
  </w:num>
  <w:num w:numId="39">
    <w:abstractNumId w:val="149"/>
  </w:num>
  <w:num w:numId="40">
    <w:abstractNumId w:val="170"/>
    <w:lvlOverride w:ilvl="0">
      <w:lvl w:ilvl="0">
        <w:numFmt w:val="decimal"/>
        <w:lvlText w:val="%1."/>
        <w:lvlJc w:val="left"/>
      </w:lvl>
    </w:lvlOverride>
  </w:num>
  <w:num w:numId="41">
    <w:abstractNumId w:val="92"/>
    <w:lvlOverride w:ilvl="0">
      <w:lvl w:ilvl="0">
        <w:numFmt w:val="decimal"/>
        <w:lvlText w:val="%1."/>
        <w:lvlJc w:val="left"/>
      </w:lvl>
    </w:lvlOverride>
  </w:num>
  <w:num w:numId="42">
    <w:abstractNumId w:val="125"/>
    <w:lvlOverride w:ilvl="0">
      <w:lvl w:ilvl="0">
        <w:numFmt w:val="decimal"/>
        <w:lvlText w:val="%1."/>
        <w:lvlJc w:val="left"/>
      </w:lvl>
    </w:lvlOverride>
  </w:num>
  <w:num w:numId="43">
    <w:abstractNumId w:val="115"/>
    <w:lvlOverride w:ilvl="0">
      <w:lvl w:ilvl="0">
        <w:numFmt w:val="decimal"/>
        <w:lvlText w:val="%1."/>
        <w:lvlJc w:val="left"/>
      </w:lvl>
    </w:lvlOverride>
  </w:num>
  <w:num w:numId="44">
    <w:abstractNumId w:val="88"/>
    <w:lvlOverride w:ilvl="0">
      <w:lvl w:ilvl="0">
        <w:numFmt w:val="decimal"/>
        <w:lvlText w:val="%1."/>
        <w:lvlJc w:val="left"/>
      </w:lvl>
    </w:lvlOverride>
  </w:num>
  <w:num w:numId="45">
    <w:abstractNumId w:val="78"/>
    <w:lvlOverride w:ilvl="0">
      <w:lvl w:ilvl="0">
        <w:numFmt w:val="decimal"/>
        <w:lvlText w:val="%1."/>
        <w:lvlJc w:val="left"/>
      </w:lvl>
    </w:lvlOverride>
  </w:num>
  <w:num w:numId="46">
    <w:abstractNumId w:val="1"/>
    <w:lvlOverride w:ilvl="0">
      <w:lvl w:ilvl="0">
        <w:numFmt w:val="decimal"/>
        <w:lvlText w:val="%1."/>
        <w:lvlJc w:val="left"/>
      </w:lvl>
    </w:lvlOverride>
  </w:num>
  <w:num w:numId="47">
    <w:abstractNumId w:val="18"/>
    <w:lvlOverride w:ilvl="0">
      <w:lvl w:ilvl="0">
        <w:numFmt w:val="decimal"/>
        <w:lvlText w:val="%1."/>
        <w:lvlJc w:val="left"/>
      </w:lvl>
    </w:lvlOverride>
  </w:num>
  <w:num w:numId="48">
    <w:abstractNumId w:val="106"/>
    <w:lvlOverride w:ilvl="0">
      <w:lvl w:ilvl="0">
        <w:numFmt w:val="decimal"/>
        <w:lvlText w:val="%1."/>
        <w:lvlJc w:val="left"/>
      </w:lvl>
    </w:lvlOverride>
  </w:num>
  <w:num w:numId="49">
    <w:abstractNumId w:val="22"/>
  </w:num>
  <w:num w:numId="50">
    <w:abstractNumId w:val="29"/>
    <w:lvlOverride w:ilvl="0">
      <w:lvl w:ilvl="0">
        <w:numFmt w:val="decimal"/>
        <w:lvlText w:val="%1."/>
        <w:lvlJc w:val="left"/>
      </w:lvl>
    </w:lvlOverride>
  </w:num>
  <w:num w:numId="51">
    <w:abstractNumId w:val="23"/>
    <w:lvlOverride w:ilvl="0">
      <w:lvl w:ilvl="0">
        <w:numFmt w:val="decimal"/>
        <w:lvlText w:val="%1."/>
        <w:lvlJc w:val="left"/>
      </w:lvl>
    </w:lvlOverride>
  </w:num>
  <w:num w:numId="52">
    <w:abstractNumId w:val="128"/>
    <w:lvlOverride w:ilvl="0">
      <w:lvl w:ilvl="0">
        <w:numFmt w:val="decimal"/>
        <w:lvlText w:val="%1."/>
        <w:lvlJc w:val="left"/>
      </w:lvl>
    </w:lvlOverride>
  </w:num>
  <w:num w:numId="53">
    <w:abstractNumId w:val="52"/>
    <w:lvlOverride w:ilvl="0">
      <w:lvl w:ilvl="0">
        <w:numFmt w:val="decimal"/>
        <w:lvlText w:val="%1."/>
        <w:lvlJc w:val="left"/>
      </w:lvl>
    </w:lvlOverride>
  </w:num>
  <w:num w:numId="54">
    <w:abstractNumId w:val="87"/>
    <w:lvlOverride w:ilvl="0">
      <w:lvl w:ilvl="0">
        <w:numFmt w:val="decimal"/>
        <w:lvlText w:val="%1."/>
        <w:lvlJc w:val="left"/>
      </w:lvl>
    </w:lvlOverride>
  </w:num>
  <w:num w:numId="55">
    <w:abstractNumId w:val="131"/>
    <w:lvlOverride w:ilvl="0">
      <w:lvl w:ilvl="0">
        <w:numFmt w:val="decimal"/>
        <w:lvlText w:val="%1."/>
        <w:lvlJc w:val="left"/>
      </w:lvl>
    </w:lvlOverride>
  </w:num>
  <w:num w:numId="56">
    <w:abstractNumId w:val="58"/>
    <w:lvlOverride w:ilvl="0">
      <w:lvl w:ilvl="0">
        <w:numFmt w:val="decimal"/>
        <w:lvlText w:val="%1."/>
        <w:lvlJc w:val="left"/>
      </w:lvl>
    </w:lvlOverride>
  </w:num>
  <w:num w:numId="57">
    <w:abstractNumId w:val="71"/>
    <w:lvlOverride w:ilvl="0">
      <w:lvl w:ilvl="0">
        <w:numFmt w:val="decimal"/>
        <w:lvlText w:val="%1."/>
        <w:lvlJc w:val="left"/>
      </w:lvl>
    </w:lvlOverride>
  </w:num>
  <w:num w:numId="58">
    <w:abstractNumId w:val="35"/>
    <w:lvlOverride w:ilvl="0">
      <w:lvl w:ilvl="0">
        <w:numFmt w:val="decimal"/>
        <w:lvlText w:val="%1."/>
        <w:lvlJc w:val="left"/>
      </w:lvl>
    </w:lvlOverride>
  </w:num>
  <w:num w:numId="59">
    <w:abstractNumId w:val="159"/>
    <w:lvlOverride w:ilvl="0">
      <w:lvl w:ilvl="0">
        <w:numFmt w:val="decimal"/>
        <w:lvlText w:val="%1."/>
        <w:lvlJc w:val="left"/>
      </w:lvl>
    </w:lvlOverride>
  </w:num>
  <w:num w:numId="60">
    <w:abstractNumId w:val="101"/>
    <w:lvlOverride w:ilvl="0">
      <w:lvl w:ilvl="0">
        <w:numFmt w:val="decimal"/>
        <w:lvlText w:val="%1."/>
        <w:lvlJc w:val="left"/>
      </w:lvl>
    </w:lvlOverride>
  </w:num>
  <w:num w:numId="61">
    <w:abstractNumId w:val="59"/>
    <w:lvlOverride w:ilvl="0">
      <w:lvl w:ilvl="0">
        <w:numFmt w:val="decimal"/>
        <w:lvlText w:val="%1."/>
        <w:lvlJc w:val="left"/>
      </w:lvl>
    </w:lvlOverride>
  </w:num>
  <w:num w:numId="62">
    <w:abstractNumId w:val="67"/>
    <w:lvlOverride w:ilvl="0">
      <w:lvl w:ilvl="0">
        <w:numFmt w:val="decimal"/>
        <w:lvlText w:val="%1."/>
        <w:lvlJc w:val="left"/>
      </w:lvl>
    </w:lvlOverride>
  </w:num>
  <w:num w:numId="63">
    <w:abstractNumId w:val="79"/>
    <w:lvlOverride w:ilvl="0">
      <w:lvl w:ilvl="0">
        <w:numFmt w:val="decimal"/>
        <w:lvlText w:val="%1."/>
        <w:lvlJc w:val="left"/>
      </w:lvl>
    </w:lvlOverride>
  </w:num>
  <w:num w:numId="64">
    <w:abstractNumId w:val="5"/>
    <w:lvlOverride w:ilvl="0">
      <w:lvl w:ilvl="0">
        <w:numFmt w:val="decimal"/>
        <w:lvlText w:val="%1."/>
        <w:lvlJc w:val="left"/>
      </w:lvl>
    </w:lvlOverride>
  </w:num>
  <w:num w:numId="65">
    <w:abstractNumId w:val="130"/>
    <w:lvlOverride w:ilvl="0">
      <w:lvl w:ilvl="0">
        <w:numFmt w:val="decimal"/>
        <w:lvlText w:val="%1."/>
        <w:lvlJc w:val="left"/>
      </w:lvl>
    </w:lvlOverride>
  </w:num>
  <w:num w:numId="66">
    <w:abstractNumId w:val="103"/>
    <w:lvlOverride w:ilvl="0">
      <w:lvl w:ilvl="0">
        <w:numFmt w:val="decimal"/>
        <w:lvlText w:val="%1."/>
        <w:lvlJc w:val="left"/>
      </w:lvl>
    </w:lvlOverride>
  </w:num>
  <w:num w:numId="67">
    <w:abstractNumId w:val="49"/>
  </w:num>
  <w:num w:numId="68">
    <w:abstractNumId w:val="4"/>
    <w:lvlOverride w:ilvl="0">
      <w:lvl w:ilvl="0">
        <w:numFmt w:val="decimal"/>
        <w:lvlText w:val="%1."/>
        <w:lvlJc w:val="left"/>
      </w:lvl>
    </w:lvlOverride>
  </w:num>
  <w:num w:numId="69">
    <w:abstractNumId w:val="107"/>
    <w:lvlOverride w:ilvl="0">
      <w:lvl w:ilvl="0">
        <w:numFmt w:val="decimal"/>
        <w:lvlText w:val="%1."/>
        <w:lvlJc w:val="left"/>
      </w:lvl>
    </w:lvlOverride>
  </w:num>
  <w:num w:numId="70">
    <w:abstractNumId w:val="169"/>
    <w:lvlOverride w:ilvl="0">
      <w:lvl w:ilvl="0">
        <w:numFmt w:val="decimal"/>
        <w:lvlText w:val="%1."/>
        <w:lvlJc w:val="left"/>
      </w:lvl>
    </w:lvlOverride>
  </w:num>
  <w:num w:numId="71">
    <w:abstractNumId w:val="75"/>
    <w:lvlOverride w:ilvl="0">
      <w:lvl w:ilvl="0">
        <w:numFmt w:val="decimal"/>
        <w:lvlText w:val="%1."/>
        <w:lvlJc w:val="left"/>
      </w:lvl>
    </w:lvlOverride>
  </w:num>
  <w:num w:numId="72">
    <w:abstractNumId w:val="95"/>
  </w:num>
  <w:num w:numId="73">
    <w:abstractNumId w:val="77"/>
  </w:num>
  <w:num w:numId="74">
    <w:abstractNumId w:val="32"/>
    <w:lvlOverride w:ilvl="0">
      <w:lvl w:ilvl="0">
        <w:numFmt w:val="decimal"/>
        <w:lvlText w:val="%1."/>
        <w:lvlJc w:val="left"/>
      </w:lvl>
    </w:lvlOverride>
  </w:num>
  <w:num w:numId="75">
    <w:abstractNumId w:val="47"/>
    <w:lvlOverride w:ilvl="0">
      <w:lvl w:ilvl="0">
        <w:numFmt w:val="decimal"/>
        <w:lvlText w:val="%1."/>
        <w:lvlJc w:val="left"/>
      </w:lvl>
    </w:lvlOverride>
  </w:num>
  <w:num w:numId="76">
    <w:abstractNumId w:val="40"/>
    <w:lvlOverride w:ilvl="0">
      <w:lvl w:ilvl="0">
        <w:numFmt w:val="decimal"/>
        <w:lvlText w:val="%1."/>
        <w:lvlJc w:val="left"/>
      </w:lvl>
    </w:lvlOverride>
  </w:num>
  <w:num w:numId="77">
    <w:abstractNumId w:val="0"/>
    <w:lvlOverride w:ilvl="0">
      <w:lvl w:ilvl="0">
        <w:numFmt w:val="decimal"/>
        <w:lvlText w:val="%1."/>
        <w:lvlJc w:val="left"/>
      </w:lvl>
    </w:lvlOverride>
  </w:num>
  <w:num w:numId="78">
    <w:abstractNumId w:val="20"/>
    <w:lvlOverride w:ilvl="0">
      <w:lvl w:ilvl="0">
        <w:numFmt w:val="decimal"/>
        <w:lvlText w:val="%1."/>
        <w:lvlJc w:val="left"/>
      </w:lvl>
    </w:lvlOverride>
  </w:num>
  <w:num w:numId="79">
    <w:abstractNumId w:val="165"/>
    <w:lvlOverride w:ilvl="0">
      <w:lvl w:ilvl="0">
        <w:numFmt w:val="decimal"/>
        <w:lvlText w:val="%1."/>
        <w:lvlJc w:val="left"/>
      </w:lvl>
    </w:lvlOverride>
  </w:num>
  <w:num w:numId="80">
    <w:abstractNumId w:val="99"/>
    <w:lvlOverride w:ilvl="0">
      <w:lvl w:ilvl="0">
        <w:numFmt w:val="decimal"/>
        <w:lvlText w:val="%1."/>
        <w:lvlJc w:val="left"/>
      </w:lvl>
    </w:lvlOverride>
  </w:num>
  <w:num w:numId="81">
    <w:abstractNumId w:val="84"/>
    <w:lvlOverride w:ilvl="0">
      <w:lvl w:ilvl="0">
        <w:numFmt w:val="decimal"/>
        <w:lvlText w:val="%1."/>
        <w:lvlJc w:val="left"/>
      </w:lvl>
    </w:lvlOverride>
  </w:num>
  <w:num w:numId="82">
    <w:abstractNumId w:val="138"/>
    <w:lvlOverride w:ilvl="0">
      <w:lvl w:ilvl="0">
        <w:numFmt w:val="decimal"/>
        <w:lvlText w:val="%1."/>
        <w:lvlJc w:val="left"/>
      </w:lvl>
    </w:lvlOverride>
  </w:num>
  <w:num w:numId="83">
    <w:abstractNumId w:val="31"/>
    <w:lvlOverride w:ilvl="0">
      <w:lvl w:ilvl="0">
        <w:numFmt w:val="decimal"/>
        <w:lvlText w:val="%1."/>
        <w:lvlJc w:val="left"/>
      </w:lvl>
    </w:lvlOverride>
  </w:num>
  <w:num w:numId="84">
    <w:abstractNumId w:val="145"/>
  </w:num>
  <w:num w:numId="85">
    <w:abstractNumId w:val="173"/>
  </w:num>
  <w:num w:numId="86">
    <w:abstractNumId w:val="123"/>
  </w:num>
  <w:num w:numId="87">
    <w:abstractNumId w:val="12"/>
  </w:num>
  <w:num w:numId="88">
    <w:abstractNumId w:val="154"/>
  </w:num>
  <w:num w:numId="89">
    <w:abstractNumId w:val="94"/>
  </w:num>
  <w:num w:numId="90">
    <w:abstractNumId w:val="152"/>
  </w:num>
  <w:num w:numId="91">
    <w:abstractNumId w:val="28"/>
  </w:num>
  <w:num w:numId="92">
    <w:abstractNumId w:val="127"/>
  </w:num>
  <w:num w:numId="93">
    <w:abstractNumId w:val="48"/>
    <w:lvlOverride w:ilvl="0">
      <w:lvl w:ilvl="0">
        <w:numFmt w:val="decimal"/>
        <w:lvlText w:val="%1."/>
        <w:lvlJc w:val="left"/>
      </w:lvl>
    </w:lvlOverride>
  </w:num>
  <w:num w:numId="94">
    <w:abstractNumId w:val="69"/>
  </w:num>
  <w:num w:numId="95">
    <w:abstractNumId w:val="134"/>
    <w:lvlOverride w:ilvl="0">
      <w:lvl w:ilvl="0">
        <w:numFmt w:val="decimal"/>
        <w:lvlText w:val="%1."/>
        <w:lvlJc w:val="left"/>
      </w:lvl>
    </w:lvlOverride>
  </w:num>
  <w:num w:numId="96">
    <w:abstractNumId w:val="73"/>
    <w:lvlOverride w:ilvl="0">
      <w:lvl w:ilvl="0">
        <w:numFmt w:val="decimal"/>
        <w:lvlText w:val="%1."/>
        <w:lvlJc w:val="left"/>
      </w:lvl>
    </w:lvlOverride>
  </w:num>
  <w:num w:numId="97">
    <w:abstractNumId w:val="136"/>
    <w:lvlOverride w:ilvl="0">
      <w:lvl w:ilvl="0">
        <w:numFmt w:val="decimal"/>
        <w:lvlText w:val="%1."/>
        <w:lvlJc w:val="left"/>
      </w:lvl>
    </w:lvlOverride>
  </w:num>
  <w:num w:numId="98">
    <w:abstractNumId w:val="143"/>
    <w:lvlOverride w:ilvl="0">
      <w:lvl w:ilvl="0">
        <w:numFmt w:val="decimal"/>
        <w:lvlText w:val="%1."/>
        <w:lvlJc w:val="left"/>
      </w:lvl>
    </w:lvlOverride>
  </w:num>
  <w:num w:numId="99">
    <w:abstractNumId w:val="8"/>
    <w:lvlOverride w:ilvl="0">
      <w:lvl w:ilvl="0">
        <w:numFmt w:val="decimal"/>
        <w:lvlText w:val="%1."/>
        <w:lvlJc w:val="left"/>
      </w:lvl>
    </w:lvlOverride>
  </w:num>
  <w:num w:numId="100">
    <w:abstractNumId w:val="61"/>
  </w:num>
  <w:num w:numId="101">
    <w:abstractNumId w:val="133"/>
    <w:lvlOverride w:ilvl="1">
      <w:lvl w:ilvl="1">
        <w:numFmt w:val="decimal"/>
        <w:lvlText w:val="%2."/>
        <w:lvlJc w:val="left"/>
      </w:lvl>
    </w:lvlOverride>
  </w:num>
  <w:num w:numId="102">
    <w:abstractNumId w:val="16"/>
    <w:lvlOverride w:ilvl="1">
      <w:lvl w:ilvl="1">
        <w:numFmt w:val="decimal"/>
        <w:lvlText w:val="%2."/>
        <w:lvlJc w:val="left"/>
      </w:lvl>
    </w:lvlOverride>
  </w:num>
  <w:num w:numId="103">
    <w:abstractNumId w:val="60"/>
    <w:lvlOverride w:ilvl="0">
      <w:lvl w:ilvl="0">
        <w:numFmt w:val="decimal"/>
        <w:lvlText w:val="%1."/>
        <w:lvlJc w:val="left"/>
      </w:lvl>
    </w:lvlOverride>
  </w:num>
  <w:num w:numId="104">
    <w:abstractNumId w:val="114"/>
    <w:lvlOverride w:ilvl="0">
      <w:lvl w:ilvl="0">
        <w:numFmt w:val="decimal"/>
        <w:lvlText w:val="%1."/>
        <w:lvlJc w:val="left"/>
      </w:lvl>
    </w:lvlOverride>
  </w:num>
  <w:num w:numId="105">
    <w:abstractNumId w:val="36"/>
    <w:lvlOverride w:ilvl="0">
      <w:lvl w:ilvl="0">
        <w:numFmt w:val="decimal"/>
        <w:lvlText w:val="%1."/>
        <w:lvlJc w:val="left"/>
      </w:lvl>
    </w:lvlOverride>
  </w:num>
  <w:num w:numId="106">
    <w:abstractNumId w:val="116"/>
    <w:lvlOverride w:ilvl="0">
      <w:lvl w:ilvl="0">
        <w:numFmt w:val="decimal"/>
        <w:lvlText w:val="%1."/>
        <w:lvlJc w:val="left"/>
      </w:lvl>
    </w:lvlOverride>
  </w:num>
  <w:num w:numId="107">
    <w:abstractNumId w:val="25"/>
    <w:lvlOverride w:ilvl="0">
      <w:lvl w:ilvl="0">
        <w:numFmt w:val="decimal"/>
        <w:lvlText w:val="%1."/>
        <w:lvlJc w:val="left"/>
      </w:lvl>
    </w:lvlOverride>
  </w:num>
  <w:num w:numId="108">
    <w:abstractNumId w:val="89"/>
    <w:lvlOverride w:ilvl="0">
      <w:lvl w:ilvl="0">
        <w:numFmt w:val="decimal"/>
        <w:lvlText w:val="%1."/>
        <w:lvlJc w:val="left"/>
      </w:lvl>
    </w:lvlOverride>
  </w:num>
  <w:num w:numId="109">
    <w:abstractNumId w:val="179"/>
    <w:lvlOverride w:ilvl="0">
      <w:lvl w:ilvl="0">
        <w:numFmt w:val="decimal"/>
        <w:lvlText w:val="%1."/>
        <w:lvlJc w:val="left"/>
      </w:lvl>
    </w:lvlOverride>
  </w:num>
  <w:num w:numId="110">
    <w:abstractNumId w:val="42"/>
    <w:lvlOverride w:ilvl="0">
      <w:lvl w:ilvl="0">
        <w:numFmt w:val="decimal"/>
        <w:lvlText w:val="%1."/>
        <w:lvlJc w:val="left"/>
      </w:lvl>
    </w:lvlOverride>
  </w:num>
  <w:num w:numId="111">
    <w:abstractNumId w:val="140"/>
    <w:lvlOverride w:ilvl="0">
      <w:lvl w:ilvl="0">
        <w:numFmt w:val="decimal"/>
        <w:lvlText w:val="%1."/>
        <w:lvlJc w:val="left"/>
      </w:lvl>
    </w:lvlOverride>
  </w:num>
  <w:num w:numId="112">
    <w:abstractNumId w:val="119"/>
    <w:lvlOverride w:ilvl="0">
      <w:lvl w:ilvl="0">
        <w:numFmt w:val="decimal"/>
        <w:lvlText w:val="%1."/>
        <w:lvlJc w:val="left"/>
      </w:lvl>
    </w:lvlOverride>
  </w:num>
  <w:num w:numId="113">
    <w:abstractNumId w:val="82"/>
    <w:lvlOverride w:ilvl="0">
      <w:lvl w:ilvl="0">
        <w:numFmt w:val="decimal"/>
        <w:lvlText w:val="%1."/>
        <w:lvlJc w:val="left"/>
      </w:lvl>
    </w:lvlOverride>
  </w:num>
  <w:num w:numId="114">
    <w:abstractNumId w:val="55"/>
  </w:num>
  <w:num w:numId="115">
    <w:abstractNumId w:val="174"/>
  </w:num>
  <w:num w:numId="116">
    <w:abstractNumId w:val="161"/>
    <w:lvlOverride w:ilvl="0">
      <w:lvl w:ilvl="0">
        <w:numFmt w:val="decimal"/>
        <w:lvlText w:val="%1."/>
        <w:lvlJc w:val="left"/>
      </w:lvl>
    </w:lvlOverride>
  </w:num>
  <w:num w:numId="117">
    <w:abstractNumId w:val="135"/>
    <w:lvlOverride w:ilvl="0">
      <w:lvl w:ilvl="0">
        <w:numFmt w:val="decimal"/>
        <w:lvlText w:val="%1."/>
        <w:lvlJc w:val="left"/>
      </w:lvl>
    </w:lvlOverride>
  </w:num>
  <w:num w:numId="118">
    <w:abstractNumId w:val="156"/>
    <w:lvlOverride w:ilvl="0">
      <w:lvl w:ilvl="0">
        <w:numFmt w:val="decimal"/>
        <w:lvlText w:val="%1."/>
        <w:lvlJc w:val="left"/>
      </w:lvl>
    </w:lvlOverride>
  </w:num>
  <w:num w:numId="119">
    <w:abstractNumId w:val="6"/>
    <w:lvlOverride w:ilvl="0">
      <w:lvl w:ilvl="0">
        <w:numFmt w:val="decimal"/>
        <w:lvlText w:val="%1."/>
        <w:lvlJc w:val="left"/>
      </w:lvl>
    </w:lvlOverride>
  </w:num>
  <w:num w:numId="120">
    <w:abstractNumId w:val="37"/>
    <w:lvlOverride w:ilvl="0">
      <w:lvl w:ilvl="0">
        <w:numFmt w:val="decimal"/>
        <w:lvlText w:val="%1."/>
        <w:lvlJc w:val="left"/>
      </w:lvl>
    </w:lvlOverride>
  </w:num>
  <w:num w:numId="121">
    <w:abstractNumId w:val="2"/>
    <w:lvlOverride w:ilvl="0">
      <w:lvl w:ilvl="0">
        <w:numFmt w:val="decimal"/>
        <w:lvlText w:val="%1."/>
        <w:lvlJc w:val="left"/>
      </w:lvl>
    </w:lvlOverride>
  </w:num>
  <w:num w:numId="122">
    <w:abstractNumId w:val="9"/>
    <w:lvlOverride w:ilvl="0">
      <w:lvl w:ilvl="0">
        <w:numFmt w:val="decimal"/>
        <w:lvlText w:val="%1."/>
        <w:lvlJc w:val="left"/>
      </w:lvl>
    </w:lvlOverride>
  </w:num>
  <w:num w:numId="123">
    <w:abstractNumId w:val="158"/>
  </w:num>
  <w:num w:numId="124">
    <w:abstractNumId w:val="62"/>
    <w:lvlOverride w:ilvl="0">
      <w:lvl w:ilvl="0">
        <w:numFmt w:val="decimal"/>
        <w:lvlText w:val="%1."/>
        <w:lvlJc w:val="left"/>
      </w:lvl>
    </w:lvlOverride>
  </w:num>
  <w:num w:numId="125">
    <w:abstractNumId w:val="102"/>
    <w:lvlOverride w:ilvl="0">
      <w:lvl w:ilvl="0">
        <w:numFmt w:val="decimal"/>
        <w:lvlText w:val="%1."/>
        <w:lvlJc w:val="left"/>
      </w:lvl>
    </w:lvlOverride>
  </w:num>
  <w:num w:numId="126">
    <w:abstractNumId w:val="91"/>
  </w:num>
  <w:num w:numId="127">
    <w:abstractNumId w:val="124"/>
  </w:num>
  <w:num w:numId="128">
    <w:abstractNumId w:val="83"/>
    <w:lvlOverride w:ilvl="0">
      <w:lvl w:ilvl="0">
        <w:numFmt w:val="decimal"/>
        <w:lvlText w:val="%1."/>
        <w:lvlJc w:val="left"/>
      </w:lvl>
    </w:lvlOverride>
  </w:num>
  <w:num w:numId="129">
    <w:abstractNumId w:val="46"/>
    <w:lvlOverride w:ilvl="0">
      <w:lvl w:ilvl="0">
        <w:numFmt w:val="decimal"/>
        <w:lvlText w:val="%1."/>
        <w:lvlJc w:val="left"/>
      </w:lvl>
    </w:lvlOverride>
  </w:num>
  <w:num w:numId="130">
    <w:abstractNumId w:val="76"/>
    <w:lvlOverride w:ilvl="0">
      <w:lvl w:ilvl="0">
        <w:numFmt w:val="decimal"/>
        <w:lvlText w:val="%1."/>
        <w:lvlJc w:val="left"/>
      </w:lvl>
    </w:lvlOverride>
  </w:num>
  <w:num w:numId="131">
    <w:abstractNumId w:val="98"/>
    <w:lvlOverride w:ilvl="0">
      <w:lvl w:ilvl="0">
        <w:numFmt w:val="decimal"/>
        <w:lvlText w:val="%1."/>
        <w:lvlJc w:val="left"/>
      </w:lvl>
    </w:lvlOverride>
  </w:num>
  <w:num w:numId="132">
    <w:abstractNumId w:val="65"/>
    <w:lvlOverride w:ilvl="0">
      <w:lvl w:ilvl="0">
        <w:numFmt w:val="decimal"/>
        <w:lvlText w:val="%1."/>
        <w:lvlJc w:val="left"/>
      </w:lvl>
    </w:lvlOverride>
  </w:num>
  <w:num w:numId="133">
    <w:abstractNumId w:val="39"/>
    <w:lvlOverride w:ilvl="0">
      <w:lvl w:ilvl="0">
        <w:numFmt w:val="decimal"/>
        <w:lvlText w:val="%1."/>
        <w:lvlJc w:val="left"/>
      </w:lvl>
    </w:lvlOverride>
  </w:num>
  <w:num w:numId="134">
    <w:abstractNumId w:val="53"/>
    <w:lvlOverride w:ilvl="0">
      <w:lvl w:ilvl="0">
        <w:numFmt w:val="decimal"/>
        <w:lvlText w:val="%1."/>
        <w:lvlJc w:val="left"/>
      </w:lvl>
    </w:lvlOverride>
  </w:num>
  <w:num w:numId="135">
    <w:abstractNumId w:val="51"/>
    <w:lvlOverride w:ilvl="0">
      <w:lvl w:ilvl="0">
        <w:numFmt w:val="decimal"/>
        <w:lvlText w:val="%1."/>
        <w:lvlJc w:val="left"/>
      </w:lvl>
    </w:lvlOverride>
  </w:num>
  <w:num w:numId="136">
    <w:abstractNumId w:val="14"/>
    <w:lvlOverride w:ilvl="0">
      <w:lvl w:ilvl="0">
        <w:numFmt w:val="decimal"/>
        <w:lvlText w:val="%1."/>
        <w:lvlJc w:val="left"/>
      </w:lvl>
    </w:lvlOverride>
  </w:num>
  <w:num w:numId="137">
    <w:abstractNumId w:val="56"/>
    <w:lvlOverride w:ilvl="0">
      <w:lvl w:ilvl="0">
        <w:numFmt w:val="decimal"/>
        <w:lvlText w:val="%1."/>
        <w:lvlJc w:val="left"/>
      </w:lvl>
    </w:lvlOverride>
  </w:num>
  <w:num w:numId="138">
    <w:abstractNumId w:val="177"/>
    <w:lvlOverride w:ilvl="0">
      <w:lvl w:ilvl="0">
        <w:numFmt w:val="decimal"/>
        <w:lvlText w:val="%1."/>
        <w:lvlJc w:val="left"/>
      </w:lvl>
    </w:lvlOverride>
  </w:num>
  <w:num w:numId="139">
    <w:abstractNumId w:val="45"/>
    <w:lvlOverride w:ilvl="0">
      <w:lvl w:ilvl="0">
        <w:numFmt w:val="decimal"/>
        <w:lvlText w:val="%1."/>
        <w:lvlJc w:val="left"/>
      </w:lvl>
    </w:lvlOverride>
  </w:num>
  <w:num w:numId="140">
    <w:abstractNumId w:val="15"/>
    <w:lvlOverride w:ilvl="0">
      <w:lvl w:ilvl="0">
        <w:numFmt w:val="decimal"/>
        <w:lvlText w:val="%1."/>
        <w:lvlJc w:val="left"/>
      </w:lvl>
    </w:lvlOverride>
  </w:num>
  <w:num w:numId="141">
    <w:abstractNumId w:val="80"/>
    <w:lvlOverride w:ilvl="0">
      <w:lvl w:ilvl="0">
        <w:numFmt w:val="decimal"/>
        <w:lvlText w:val="%1."/>
        <w:lvlJc w:val="left"/>
      </w:lvl>
    </w:lvlOverride>
  </w:num>
  <w:num w:numId="142">
    <w:abstractNumId w:val="150"/>
    <w:lvlOverride w:ilvl="0">
      <w:lvl w:ilvl="0">
        <w:numFmt w:val="decimal"/>
        <w:lvlText w:val="%1."/>
        <w:lvlJc w:val="left"/>
      </w:lvl>
    </w:lvlOverride>
  </w:num>
  <w:num w:numId="143">
    <w:abstractNumId w:val="27"/>
  </w:num>
  <w:num w:numId="144">
    <w:abstractNumId w:val="85"/>
    <w:lvlOverride w:ilvl="0">
      <w:lvl w:ilvl="0">
        <w:numFmt w:val="decimal"/>
        <w:lvlText w:val="%1."/>
        <w:lvlJc w:val="left"/>
      </w:lvl>
    </w:lvlOverride>
  </w:num>
  <w:num w:numId="145">
    <w:abstractNumId w:val="139"/>
    <w:lvlOverride w:ilvl="0">
      <w:lvl w:ilvl="0">
        <w:numFmt w:val="decimal"/>
        <w:lvlText w:val="%1."/>
        <w:lvlJc w:val="left"/>
      </w:lvl>
    </w:lvlOverride>
  </w:num>
  <w:num w:numId="146">
    <w:abstractNumId w:val="163"/>
    <w:lvlOverride w:ilvl="0">
      <w:lvl w:ilvl="0">
        <w:numFmt w:val="decimal"/>
        <w:lvlText w:val="%1."/>
        <w:lvlJc w:val="left"/>
      </w:lvl>
    </w:lvlOverride>
  </w:num>
  <w:num w:numId="147">
    <w:abstractNumId w:val="164"/>
    <w:lvlOverride w:ilvl="0">
      <w:lvl w:ilvl="0">
        <w:numFmt w:val="decimal"/>
        <w:lvlText w:val="%1."/>
        <w:lvlJc w:val="left"/>
      </w:lvl>
    </w:lvlOverride>
  </w:num>
  <w:num w:numId="148">
    <w:abstractNumId w:val="43"/>
    <w:lvlOverride w:ilvl="0">
      <w:lvl w:ilvl="0">
        <w:numFmt w:val="decimal"/>
        <w:lvlText w:val="%1."/>
        <w:lvlJc w:val="left"/>
      </w:lvl>
    </w:lvlOverride>
  </w:num>
  <w:num w:numId="149">
    <w:abstractNumId w:val="117"/>
    <w:lvlOverride w:ilvl="0">
      <w:lvl w:ilvl="0">
        <w:numFmt w:val="decimal"/>
        <w:lvlText w:val="%1."/>
        <w:lvlJc w:val="left"/>
      </w:lvl>
    </w:lvlOverride>
  </w:num>
  <w:num w:numId="150">
    <w:abstractNumId w:val="63"/>
  </w:num>
  <w:num w:numId="151">
    <w:abstractNumId w:val="121"/>
  </w:num>
  <w:num w:numId="152">
    <w:abstractNumId w:val="132"/>
    <w:lvlOverride w:ilvl="0">
      <w:lvl w:ilvl="0">
        <w:numFmt w:val="decimal"/>
        <w:lvlText w:val="%1."/>
        <w:lvlJc w:val="left"/>
      </w:lvl>
    </w:lvlOverride>
  </w:num>
  <w:num w:numId="153">
    <w:abstractNumId w:val="118"/>
    <w:lvlOverride w:ilvl="0">
      <w:lvl w:ilvl="0">
        <w:numFmt w:val="decimal"/>
        <w:lvlText w:val="%1."/>
        <w:lvlJc w:val="left"/>
      </w:lvl>
    </w:lvlOverride>
  </w:num>
  <w:num w:numId="154">
    <w:abstractNumId w:val="109"/>
    <w:lvlOverride w:ilvl="0">
      <w:lvl w:ilvl="0">
        <w:numFmt w:val="decimal"/>
        <w:lvlText w:val="%1."/>
        <w:lvlJc w:val="left"/>
      </w:lvl>
    </w:lvlOverride>
  </w:num>
  <w:num w:numId="155">
    <w:abstractNumId w:val="144"/>
    <w:lvlOverride w:ilvl="0">
      <w:lvl w:ilvl="0">
        <w:numFmt w:val="decimal"/>
        <w:lvlText w:val="%1."/>
        <w:lvlJc w:val="left"/>
      </w:lvl>
    </w:lvlOverride>
  </w:num>
  <w:num w:numId="156">
    <w:abstractNumId w:val="64"/>
    <w:lvlOverride w:ilvl="0">
      <w:lvl w:ilvl="0">
        <w:numFmt w:val="lowerLetter"/>
        <w:lvlText w:val="%1."/>
        <w:lvlJc w:val="left"/>
      </w:lvl>
    </w:lvlOverride>
  </w:num>
  <w:num w:numId="157">
    <w:abstractNumId w:val="3"/>
    <w:lvlOverride w:ilvl="0">
      <w:lvl w:ilvl="0">
        <w:numFmt w:val="decimal"/>
        <w:lvlText w:val="%1."/>
        <w:lvlJc w:val="left"/>
      </w:lvl>
    </w:lvlOverride>
  </w:num>
  <w:num w:numId="158">
    <w:abstractNumId w:val="151"/>
  </w:num>
  <w:num w:numId="159">
    <w:abstractNumId w:val="57"/>
  </w:num>
  <w:num w:numId="160">
    <w:abstractNumId w:val="122"/>
  </w:num>
  <w:num w:numId="161">
    <w:abstractNumId w:val="24"/>
  </w:num>
  <w:num w:numId="162">
    <w:abstractNumId w:val="147"/>
  </w:num>
  <w:num w:numId="163">
    <w:abstractNumId w:val="74"/>
    <w:lvlOverride w:ilvl="0">
      <w:lvl w:ilvl="0">
        <w:numFmt w:val="decimal"/>
        <w:lvlText w:val="%1."/>
        <w:lvlJc w:val="left"/>
      </w:lvl>
    </w:lvlOverride>
  </w:num>
  <w:num w:numId="164">
    <w:abstractNumId w:val="54"/>
  </w:num>
  <w:num w:numId="165">
    <w:abstractNumId w:val="70"/>
  </w:num>
  <w:num w:numId="166">
    <w:abstractNumId w:val="166"/>
    <w:lvlOverride w:ilvl="0">
      <w:lvl w:ilvl="0">
        <w:numFmt w:val="decimal"/>
        <w:lvlText w:val="%1."/>
        <w:lvlJc w:val="left"/>
      </w:lvl>
    </w:lvlOverride>
  </w:num>
  <w:num w:numId="167">
    <w:abstractNumId w:val="13"/>
  </w:num>
  <w:num w:numId="168">
    <w:abstractNumId w:val="19"/>
  </w:num>
  <w:num w:numId="169">
    <w:abstractNumId w:val="167"/>
    <w:lvlOverride w:ilvl="0">
      <w:lvl w:ilvl="0">
        <w:numFmt w:val="decimal"/>
        <w:lvlText w:val="%1."/>
        <w:lvlJc w:val="left"/>
      </w:lvl>
    </w:lvlOverride>
  </w:num>
  <w:num w:numId="170">
    <w:abstractNumId w:val="155"/>
  </w:num>
  <w:num w:numId="171">
    <w:abstractNumId w:val="178"/>
  </w:num>
  <w:num w:numId="172">
    <w:abstractNumId w:val="168"/>
    <w:lvlOverride w:ilvl="0">
      <w:lvl w:ilvl="0">
        <w:numFmt w:val="decimal"/>
        <w:lvlText w:val="%1."/>
        <w:lvlJc w:val="left"/>
      </w:lvl>
    </w:lvlOverride>
  </w:num>
  <w:num w:numId="173">
    <w:abstractNumId w:val="11"/>
    <w:lvlOverride w:ilvl="0">
      <w:lvl w:ilvl="0">
        <w:numFmt w:val="decimal"/>
        <w:lvlText w:val="%1."/>
        <w:lvlJc w:val="left"/>
      </w:lvl>
    </w:lvlOverride>
  </w:num>
  <w:num w:numId="174">
    <w:abstractNumId w:val="90"/>
    <w:lvlOverride w:ilvl="0">
      <w:lvl w:ilvl="0">
        <w:numFmt w:val="decimal"/>
        <w:lvlText w:val="%1."/>
        <w:lvlJc w:val="left"/>
      </w:lvl>
    </w:lvlOverride>
  </w:num>
  <w:num w:numId="175">
    <w:abstractNumId w:val="171"/>
    <w:lvlOverride w:ilvl="0">
      <w:lvl w:ilvl="0">
        <w:numFmt w:val="decimal"/>
        <w:lvlText w:val="%1."/>
        <w:lvlJc w:val="left"/>
      </w:lvl>
    </w:lvlOverride>
  </w:num>
  <w:num w:numId="176">
    <w:abstractNumId w:val="26"/>
    <w:lvlOverride w:ilvl="0">
      <w:lvl w:ilvl="0">
        <w:numFmt w:val="decimal"/>
        <w:lvlText w:val="%1."/>
        <w:lvlJc w:val="left"/>
      </w:lvl>
    </w:lvlOverride>
  </w:num>
  <w:num w:numId="177">
    <w:abstractNumId w:val="96"/>
    <w:lvlOverride w:ilvl="0">
      <w:lvl w:ilvl="0">
        <w:numFmt w:val="decimal"/>
        <w:lvlText w:val="%1."/>
        <w:lvlJc w:val="left"/>
      </w:lvl>
    </w:lvlOverride>
  </w:num>
  <w:num w:numId="178">
    <w:abstractNumId w:val="162"/>
    <w:lvlOverride w:ilvl="0">
      <w:lvl w:ilvl="0">
        <w:numFmt w:val="decimal"/>
        <w:lvlText w:val="%1."/>
        <w:lvlJc w:val="left"/>
      </w:lvl>
    </w:lvlOverride>
  </w:num>
  <w:num w:numId="179">
    <w:abstractNumId w:val="17"/>
    <w:lvlOverride w:ilvl="0">
      <w:lvl w:ilvl="0">
        <w:numFmt w:val="decimal"/>
        <w:lvlText w:val="%1."/>
        <w:lvlJc w:val="left"/>
      </w:lvl>
    </w:lvlOverride>
  </w:num>
  <w:num w:numId="180">
    <w:abstractNumId w:val="112"/>
    <w:lvlOverride w:ilvl="0">
      <w:lvl w:ilvl="0">
        <w:numFmt w:val="decimal"/>
        <w:lvlText w:val="%1."/>
        <w:lvlJc w:val="left"/>
      </w:lvl>
    </w:lvlOverride>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881"/>
    <w:rsid w:val="00092E23"/>
    <w:rsid w:val="00511881"/>
    <w:rsid w:val="00557DA9"/>
    <w:rsid w:val="00DD051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84727D-DD5E-4033-8F24-2188E25F5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118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1881"/>
    <w:rPr>
      <w:rFonts w:ascii="Times New Roman" w:eastAsia="Times New Roman" w:hAnsi="Times New Roman" w:cs="Times New Roman"/>
      <w:b/>
      <w:bCs/>
      <w:kern w:val="36"/>
      <w:sz w:val="48"/>
      <w:szCs w:val="48"/>
      <w:lang w:eastAsia="en-ZA"/>
    </w:rPr>
  </w:style>
  <w:style w:type="paragraph" w:styleId="NormalWeb">
    <w:name w:val="Normal (Web)"/>
    <w:basedOn w:val="Normal"/>
    <w:uiPriority w:val="99"/>
    <w:semiHidden/>
    <w:unhideWhenUsed/>
    <w:rsid w:val="00511881"/>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apple-tab-span">
    <w:name w:val="apple-tab-span"/>
    <w:basedOn w:val="DefaultParagraphFont"/>
    <w:rsid w:val="00511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55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88</Pages>
  <Words>8960</Words>
  <Characters>51072</Characters>
  <Application>Microsoft Office Word</Application>
  <DocSecurity>0</DocSecurity>
  <Lines>425</Lines>
  <Paragraphs>119</Paragraphs>
  <ScaleCrop>false</ScaleCrop>
  <Company/>
  <LinksUpToDate>false</LinksUpToDate>
  <CharactersWithSpaces>59913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Singer</dc:creator>
  <cp:keywords/>
  <dc:description/>
  <cp:lastModifiedBy>Renée Hunter</cp:lastModifiedBy>
  <cp:revision>2</cp:revision>
  <dcterms:created xsi:type="dcterms:W3CDTF">2016-05-11T15:13:00Z</dcterms:created>
  <dcterms:modified xsi:type="dcterms:W3CDTF">2016-05-11T15:13:00Z</dcterms:modified>
</cp:coreProperties>
</file>