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MEMORANDUM OF UNDERSTANDING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BETWEEN:</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NATIONAL FINANCIAL INFORMATION CELL, "CENAREF" in acronym, public service established under Law No. 04/016 of 19 July 2004 on the fight against money laundering and terrorist financing, represented the présertes purposes by Mr. Katuala KABA Kashala, Executive Secretary,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hereinafter referred to as "CENAREF" on the one hand,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AND</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tHE ASSOCIATION oF bANKS CONGOLAISE, "ACB" in acronym, professional Association of banks established under the law No. 003/2002 on the activities and supervision of credit institutions, represented by Mr Michel Losembe, President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hereinafter referred to as "ACB" other.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single"/>
          <w:vertAlign w:val="baseline"/>
          <w:rtl w:val="0"/>
        </w:rPr>
        <w:t xml:space="preserve">iT WAS PREVIOUSLY EXPOSED THAT</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in order to correct and effective interpretation of the legal framework established by law No. 04/016 of 19 July 2004 on the fight against money laundering and terrorist financing, as well as its implementing measures taken by the Central Bank of Congo, Congolese Association of Banks and the National Financial Intelligence Unit found it useful to establish the framework of good cooperation followingfOLLOWS:.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THEREFORE WHAT iT IS AGREED aS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18"/>
          <w:szCs w:val="18"/>
          <w:u w:val="none"/>
          <w:vertAlign w:val="baseline"/>
          <w:rtl w:val="0"/>
        </w:rPr>
        <w:t xml:space="preserve">Article 1:</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All payment in cash or by title carrying an amount not less than USD 10,000, - (ten thousand US dollars), which were the subject of checks prescribed by the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legislation on the fight against money laundering and terrorist financing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andhas not resulted in actual or alleged doubts, may not be told the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CENAREF.</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by cons, if the actual or alleged doubts about a payment, whatever the amount, performed Pursuant to Instruction No. 15 BIS, amendment No. 2 of 15 December 2006 on derogations from the legal provisions prohibiting any payment by cash or bearer a sum in francs or greater Congolese to USD 10.000, - (ten thousand US dollars), the establishment of credit must inform in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a CENAREF2:.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Article</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banks will be required to refer to CENAREF information on politically exposed persons and their families in case of suspicion of money laundering or terrorist financing, or specific requests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CENAREF.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Article 3:</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with regard to the identification of bank customers, the two parties: 1. recognize, regulations and case law to support that thepeople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detaininghave patent quality trader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2.consider identity documents the following: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For national: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The voter registration card</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 Passport in course of validity - A certificate of loss of documents issued by apublic officer</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Competent- Driving license coupled with a document certified by aofficial: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competent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the certificate of nationality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criminal record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the certificate of residence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marriage certificate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the certificate of birth</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"forforeign residents in the DRC: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resident card and valid passport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for non-resident foreigners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-passport with a residence visa valid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Article 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If there are real doubts or assumed on the origin or destination of funds received the benefit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of his client, the banker may stay the execution of the operation, but he must inform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the CENAREF immediately to guard against the risk of calling into question its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responsibility by his client5.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Article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Concerning the continuation of acts constituting alleged laundering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terrorist financing,the parties express the wish to see the Governor of the Central Bank of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Congo recalled a statement that the examination of these cases is the exclusive jurisdiction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of that CENAREF has the expertise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Article 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this MoU comes into force on the date of signature may be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amended when circumstances require|..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So did in Kinshasa, the "y  S | 2) *, in as many copies as there are parties (two), each acknowledging receipt of one.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Shruti" w:cs="Shruti" w:eastAsia="Shruti" w:hAnsi="Shruti"/>
          <w:b w:val="1"/>
          <w:i w:val="0"/>
          <w:smallCaps w:val="0"/>
          <w:strike w:val="0"/>
          <w:color w:val="000000"/>
          <w:sz w:val="22"/>
          <w:szCs w:val="22"/>
          <w:u w:val="none"/>
          <w:vertAlign w:val="baseline"/>
          <w:rtl w:val="0"/>
        </w:rPr>
        <w:t xml:space="preserve">Miche ો Presid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Shrut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